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przygotowywanie się studenta do wykładów - 8 godz.
b) przygotowywanie się studenta do kolokwium - 10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GP.NMK203_W1: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GP.NMK203_U1: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w:t>
      </w:r>
    </w:p>
    <w:p>
      <w:pPr>
        <w:pStyle w:val="Heading3"/>
      </w:pPr>
      <w:bookmarkStart w:id="4" w:name="_Toc4"/>
      <w:r>
        <w:t>Profil ogólnoakademicki - kompetencje społeczne</w:t>
      </w:r>
      <w:bookmarkEnd w:id="4"/>
    </w:p>
    <w:p>
      <w:pPr>
        <w:keepNext w:val="1"/>
        <w:spacing w:after="10"/>
      </w:pPr>
      <w:r>
        <w:rPr>
          <w:b/>
          <w:bCs/>
        </w:rPr>
        <w:t xml:space="preserve">Efekt GP.NMK203_K1: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2024-05-18T22:58:36+02:00</dcterms:created>
  <dcterms:modified xsi:type="dcterms:W3CDTF">2024-05-18T22:58:36+02:00</dcterms:modified>
</cp:coreProperties>
</file>

<file path=docProps/custom.xml><?xml version="1.0" encoding="utf-8"?>
<Properties xmlns="http://schemas.openxmlformats.org/officeDocument/2006/custom-properties" xmlns:vt="http://schemas.openxmlformats.org/officeDocument/2006/docPropsVTypes"/>
</file>