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Rędzińska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godzin, w tym:
a) udział w wykładach: 7 x 1 godz. = 7 godz.
b) udział w zajęciach projektowych:  7 x 2 godz. = 14 godz.
c) udział w konsultacjach związanych z realizacja projektu: 3 x 2 godz. = 6 godz.
d) obecność na zaliczeniu: 3 godz.
2. Praca własna studenta - 44 godziny, w tym:
a) przygotowanie do zajęć projektowych: 8 x 2 = 16 godz.
b) realizacja zadań projektowych: 7 x 3 godz. = 21 godz.
c) przygotowanie do zaliczenia 7 godz.
Łącznie nakład pracy studenta wynosi 74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- 30 godzin, w tym:
a) udział w wykładach: 7 x 1 godz. = 7 godz.
b) udział w zajęciach projektowych:  7 x 2 godz. = 14 godz.
c) udział w konsultacjach związanych z realizacja projektu: 3 x 2 godz. = 6 godz.
d) obecność na zaliczeniu: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- 49 godzin, w tym:
a) udział w zajęciach projektowych: 7 x 2 godz. = 14 godz.
b) przygotowanie do zajęć projektowych: 7 x 2 = 14 godz.
c) realizacja zadań projektowych: 7 x 3 godz. = 21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geografii fizycznej i ekonomicznej, ekologii i urbanistyki, przyrodniczych podstaw projektów przestrzennych, systemu planowania przestrzennego w Polsce, umiejętność obsługi oprogramowania GIS (kursy na studiach inżynieryjnych) oraz aktualna problematyka społeczno-gospodarcza w zakresie ochrony środowiska, planowania przestrzennego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20 -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Usługi ekosystemowe. Współczesne zagrożenia ekosystemów miejskich: zmiany klimatu, urbanizacja, antropopresja. Audyt ekologiczny. Współczesne nurty ochrony przyrody w miastach na świecie - paradygmat łączenia funkcji ochronnej i społecznej - przykłady. Zielona infrastruktura - definicje, typologia, zasady - przykłady rozwiązań w różnej skali przestrzennej. Metody projektowania zielonej infrastruktury: potencjał vs potrzeby. Wdrażanie zielonej infrastruktury: możliwości, ograniczenia - przykłady.
Zajęcia są prowadzone metodą Project Based Learning (PBL).
Projekt: studium przypadku wybranego miasta (miasta poniżej 100 tys. mieszkańców).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 
Zajęcia zostały przygotowane i będą prowadzone z wykorzystaniem umiejętności prezentacyjnych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GP.NMK207_W1: </w:t>
      </w:r>
    </w:p>
    <w:p>
      <w:pPr/>
      <w:r>
        <w:rPr/>
        <w:t xml:space="preserve">zna wpływ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keepNext w:val="1"/>
        <w:spacing w:after="10"/>
      </w:pPr>
      <w:r>
        <w:rPr>
          <w:b/>
          <w:bCs/>
        </w:rPr>
        <w:t xml:space="preserve">Efekt GP.NMK207_W2: </w:t>
      </w:r>
    </w:p>
    <w:p>
      <w:pPr/>
      <w:r>
        <w:rPr/>
        <w:t xml:space="preserve">zna zagadnienia prawne pozwalające wykonywać dokumenty planistyczne, urbanistyczne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GP.NMK207_W3: </w:t>
      </w:r>
    </w:p>
    <w:p>
      <w:pPr/>
      <w:r>
        <w:rPr/>
        <w:t xml:space="preserve">zna zagadnienia prawne dotyczące ocen oddziaływania zmierzeń inwestycyjnych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S2A_W07, T2A_W04, P2A_W02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GP.NMK207_U1: </w:t>
      </w:r>
    </w:p>
    <w:p>
      <w:pPr/>
      <w:r>
        <w:rPr/>
        <w:t xml:space="preserve">zna podstawowe systemy informacyji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GP.NMK207_U2: </w:t>
      </w:r>
    </w:p>
    <w:p>
      <w:pPr/>
      <w:r>
        <w:rPr/>
        <w:t xml:space="preserve">posiada umiejetność korzystania z literatury, opracowań naukowych jak też z dokumentów do wyciągania wniosków co do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GP.NMK207_U3: </w:t>
      </w:r>
    </w:p>
    <w:p>
      <w:pPr/>
      <w:r>
        <w:rPr/>
        <w:t xml:space="preserve">posiada umiejętność wykonywania dokumentów planistycznych, urbanistycznych zgodnych z polityką ekorozwoju; ma umiejętność wykonywania prac urbanistycznych w szczególności związanych z zagospodarowaniem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GP.NMK207_K1: </w:t>
      </w:r>
    </w:p>
    <w:p>
      <w:pPr/>
      <w:r>
        <w:rPr/>
        <w:t xml:space="preserve">posiada samoświadomość stanu badanej przestrzenni jak też istniejących decyzji administracji rządowej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GP.NMK207_K2: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GP.NMK207_K3: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2025-12-27T13:09:03+01:00</dcterms:created>
  <dcterms:modified xsi:type="dcterms:W3CDTF">2025-12-27T13:09:03+01:00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