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SDII_W1: </w:t>
      </w:r>
    </w:p>
    <w:p>
      <w:pPr/>
      <w:r>
        <w:rPr/>
        <w:t xml:space="preserve">Posiada wiedze z zakresu danych literaturowym chronionych prawem autorskim lub patentowym.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SDII_U2: </w:t>
      </w:r>
    </w:p>
    <w:p>
      <w:pPr/>
      <w:r>
        <w:rPr/>
        <w:t xml:space="preserve">Na podstawie wiedzy uzyskanej w trakcie dotychczasowych zajęć oraz analizy literatury fachowej student rozwija - poprzez pracę własną - swoje umiejętności i wiedzę nt. rozwiązania problemu będącego przedmiotem pracy magisterskiej. Student potrafi opracować w języku obcym prezentację dot. rozwiązań omówionych w pracy magisterskiej. Potrafi zaprezentować rozwiązanie problemu na forum, prowadzić dyskusje z uczestnikami. Przy przygotowaniu  swojego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podczas seminarium,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IM2_U02, IM2_U04, IM2_U06, IM2_U07, IM2_U10,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T2A_U06,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SDII_U1: </w:t>
      </w:r>
    </w:p>
    <w:p>
      <w:pPr/>
      <w:r>
        <w:rPr/>
        <w:t xml:space="preserve">Posiada umiejętność dokonywania analizy sposobu funkcjonowania rozwiązania technicznego, urządzenia, systemu, procesów zawartch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SDII_K1: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i rozstrzyga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dyskusja podczas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2024-05-18T17:39:07+02:00</dcterms:created>
  <dcterms:modified xsi:type="dcterms:W3CDTF">2024-05-18T17:39:07+02:00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