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Dyplomowa/ Master of Science Thesis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Wybrany przez studenta promotor pracy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Zalecane przedmioty poprzedzające: Wszystkie przedmioty podstawowe i kierunkowe z I stopnia nauczania oraz 1 sem. na II stopniu nauczania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Synteza zdobytej wiedzy w obszarze nauczania na kierunku inżynieria materiałowa w obszarze wybranej specjalności. Zapoznanie studentów z metodyką pracy naukowej (wybór i formułowanie tezy naukowej, analiza aktualnego stanu wiedzy, opracowanie metodyki badań, weryfikacja i krytyczna dyskusja otrzymanych wyników badań). Zapoznanie studenta z zasadami pisania naukowych tekstów technicznych oraz informatycznymi zasobami literatury naukowej.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treści: Zapoznanie studentów z: 1. Formułowaniem i wyborem problemu naukowego 2. Doborem metod badań i weryfikacji tezy naukowej 3. Krytyczną analizą otrzymanych wyników badań naukowych 4. Analizą aktualnego stanu wiedzy w obszarze wybranej dyscypliny naukowej 5. Posługiwaniem się nowoczesnymi informatycznymi zasobami bazy naukowej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podstawie oceny aktywności studenta podczas realizacji pracy i oceny pracy dyplomowej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 akademickie, Artykuły naukowe. Strony WWW – według zaleceń promotora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PD_W1: </w:t>
      </w:r>
    </w:p>
    <w:p>
      <w:pPr/>
      <w:r>
        <w:rPr/>
        <w:t xml:space="preserve">Posiada wiedzę z zakresu z danych literaturowych chronionych prawem autorskim lub patentowym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 przez promotora i recenzenta.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PD_U2: </w:t>
      </w:r>
    </w:p>
    <w:p>
      <w:pPr/>
      <w:r>
        <w:rPr/>
        <w:t xml:space="preserve">Posiada umiejętność przeprowadzenia analizy literaturowej w języku polskim i obcym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 przez promotora i recenzenta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IM2_U01, IM2_U04, IM2_U06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T2A_U04, T2A_U06</w:t>
      </w:r>
    </w:p>
    <w:p>
      <w:pPr>
        <w:keepNext w:val="1"/>
        <w:spacing w:after="10"/>
      </w:pPr>
      <w:r>
        <w:rPr>
          <w:b/>
          <w:bCs/>
        </w:rPr>
        <w:t xml:space="preserve">Efekt PD_U1: </w:t>
      </w:r>
    </w:p>
    <w:p>
      <w:pPr/>
      <w:r>
        <w:rPr/>
        <w:t xml:space="preserve">Potrafi przygotować i przedstawic krótkie opracowanie swojej pracy w języku polskim i angielskim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 dyplomowej przez promotora i recenzenta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IM2_U03, IM2_U04, IM2_U06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T2A_U04, T2A_U06</w:t>
      </w:r>
    </w:p>
    <w:p>
      <w:pPr>
        <w:keepNext w:val="1"/>
        <w:spacing w:after="10"/>
      </w:pPr>
      <w:r>
        <w:rPr>
          <w:b/>
          <w:bCs/>
        </w:rPr>
        <w:t xml:space="preserve">Efekt PD_U4: </w:t>
      </w:r>
    </w:p>
    <w:p>
      <w:pPr/>
      <w:r>
        <w:rPr/>
        <w:t xml:space="preserve">Potrafi syntetycznie podsumować przeprowadzoną analizę i zaproponowac kierunki dalszych badań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 przez promotora i recenzenta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IM2_U05, IM2_U08, IM2_U09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T2A_U08, T2A_U09</w:t>
      </w:r>
    </w:p>
    <w:p>
      <w:pPr>
        <w:keepNext w:val="1"/>
        <w:spacing w:after="10"/>
      </w:pPr>
      <w:r>
        <w:rPr>
          <w:b/>
          <w:bCs/>
        </w:rPr>
        <w:t xml:space="preserve">Efekt PD_U3: </w:t>
      </w:r>
    </w:p>
    <w:p>
      <w:pPr/>
      <w:r>
        <w:rPr/>
        <w:t xml:space="preserve">Potrafi jasno sformułować i zrealizować cele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 przez promotora i recenzenta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</w:t>
      </w:r>
    </w:p>
    <w:p>
      <w:pPr>
        <w:keepNext w:val="1"/>
        <w:spacing w:after="10"/>
      </w:pPr>
      <w:r>
        <w:rPr>
          <w:b/>
          <w:bCs/>
        </w:rPr>
        <w:t xml:space="preserve">Efekt PD_U5: </w:t>
      </w:r>
    </w:p>
    <w:p>
      <w:pPr/>
      <w:r>
        <w:rPr/>
        <w:t xml:space="preserve">Potrafi posługiwać się różnymi technikami, metadami, narzędziami niezbędnymi do rozwiązania zadanego problemu inżynierskiego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 przez promotora i recenzenta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IM2_U19, IM2_U20, IM2_U21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T2A_U18,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PD_K1: </w:t>
      </w:r>
    </w:p>
    <w:p>
      <w:pPr/>
      <w:r>
        <w:rPr/>
        <w:t xml:space="preserve">Rozumie potrzebę poszerzania zakresu swojej wiedzy wobec pojawiających się wyzwań, konieczności rozwiązywania nowych zaistniałych problemów. Potrafi odpowiednio określić priorytety służące realizacji określonego przez siebie zadania. Prawidłowo identyfikuje dylematy związane z wykonywaniem zawodu. Ma świadomość roli społecznej absolwenta uczelni technicznej, rozumie potrzebę przekazywania w sposób zrozumiały informacji o osiągniętych rezultatach społeczeństwu, światu nauki, z uwzględnieniem zasad ochrony własności intelektualnej.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 przez promotora i recenzenta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IM2_K01, IM2_K04, IM2_K05, IM2_K07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T2A_K04, 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2024-05-18T14:34:22+02:00</dcterms:created>
  <dcterms:modified xsi:type="dcterms:W3CDTF">2024-05-18T14:34:22+02:00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