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inteligentne/ Intelligent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Waldemar Kaszuwara, prof. PW;  dr hab. inż. Anna Boczkowska,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MATINT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godzin pracy na zajęciach + 15 godzin pracy własnej (studia literaturowe)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Treści przekazywane w ramach studiów I stopnia zwłaszcza z zakresu przedmiotów: Materiały Polimerowe, Materiały Ceramiczne, Materiały Metaliczne i Kompozyty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materiałami inteligentnymi tzn. z nowoczesną grupą materiałów, w których bodźce zewnętrzne wywołują przewidywalne i kontrolowane reakcje (zmiana kształtu, pola magnetycznego, właściwości), odwracalne po usunięciu działania bodźca. Przekazanie informacji na temat podstaw zjawisk fizycznych wykorzystywanych w materiałach inteligentnych, ich budowy i zastosowań. Studenci poznają istniejące materiały z tej grupy w powiązaniu z ich przykładowymi zastosowaniami.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dotyczy materiałów metalicznych, polimerowych, ceramicznych oraz kompozytów, w których występują zjawiska wywołujące reakcje kontrolowane bodźcami zewnętrznymi (materiały piezoelektryczne, magnetostrykcyjne, ciecze i elastomery reologiczne, materiały z pamięcią kształtu). Przedstawiane będą podstawowe funkcje materiałów inteligentnych (aktuatory, sensory, przetworniki) oraz przykładowe konstrukcje (struktury) pozwalające na spełnienie tych funkcji. Zjawiska fizyczne odpowiedzialne za użyteczne właściwości materiałów inteligentnych: zjawisko piezoelektryczne, magnetostrykcja, przemiana martenzytyczna oraz oddziaływania układów cząstek zdyspergowanych w cieczach i polimerach. Metody kształtowania struktury materiałów inteligentnych oraz jej wpływ na właściwości użytkowe. Podstawowe zastosowania materiałów inteligentnych.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wystawiana jest na podstawie wyników dwóch kolokwiów odbywających się w trakcie semestru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Schwartz, Encyclopedia of Smart Materials, wyd. Wiley and Sons Inc., Nowy Jork 2002.
3. A. Boczkowska, Rola mikrostruktury w kształtowaniu właściwości inteligentnych kompozytów magnetoreologicznych, Oficyna Wydawnicza PW,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MATINT_W1: </w:t>
      </w:r>
    </w:p>
    <w:p>
      <w:pPr/>
      <w:r>
        <w:rPr/>
        <w:t xml:space="preserve">Posiada wiedzę z zakresu podstaw fizyki magnetyzmu. Zna podstawowe materiały magnetyczne i rozumie korelacje pomiedzy właściwościami magnetycznymi a budową fazową materiałów magnetycznych.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IM2_W05, IM2_W06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MATINT_K1: </w:t>
      </w:r>
    </w:p>
    <w:p>
      <w:pPr/>
      <w:r>
        <w:rPr/>
        <w:t xml:space="preserve">Potrafi współdziałać w grupie, nawiązuje kontakty, wymienia poglądy nt zdobytej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IM2_K01, IM2_K03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2024-05-18T19:18:44+02:00</dcterms:created>
  <dcterms:modified xsi:type="dcterms:W3CDTF">2024-05-18T19:18:44+02:00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