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Properties of Materials Structure</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w:t>
      </w:r>
    </w:p>
    <w:p>
      <w:pPr>
        <w:keepNext w:val="1"/>
        <w:spacing w:after="10"/>
      </w:pPr>
      <w:r>
        <w:rPr>
          <w:b/>
          <w:bCs/>
        </w:rPr>
        <w:t xml:space="preserve">Metody oceny: </w:t>
      </w:r>
    </w:p>
    <w:p>
      <w:pPr>
        <w:spacing w:before="20" w:after="190"/>
      </w:pPr>
      <w:r>
        <w:rPr/>
        <w:t xml:space="preserve">Kolokwium (max.16p.) oraz prezentacja samodzielnej próby przekształcania obrazu z wykorzystaniem wybranego programu realizującego przekształcenia morfologiczne obrazu (max.8p.). Zalicza zdobycie minimum 12p.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Kraków 1995.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8. J. Szala, Zastosowanie metod komputerowej analizy obrazu do ilościowej oceny struktury materiałów, Zeszyty Naukowe Politechniki Śląskiej Nr 1581, Gliwice 2001. 9. P. J. Diggle, Statistical Analysis of Spatial Point Patterns, Arnold London 2003 (pełny tekst dostępny na JSTOR Mathematics). 10. J. Ohser, F.Mucklich, Statistical Analysis of Microstructures in Materials Science, John Wiley&amp;Sons LTD, 2000. 11. D. Stoyan, W.Kendall, J.Mecke, Stochastic Geometry and its Applications, John Wiley&amp;Sons LTD, 1995 (pełny tekst dostępny na JSTOR Mathematics). 12. K. Rożniatowski, Metody charakteryzowania niejednorodności rozmieszczenia elementów strukturalnych w materiałach wielofazowych, Oficyna PW, Warszawa 2008. 13. J. C. Russ, F. Brent Neal, Measuring Shape, CRC Press,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IM2_U08, IM2_U09</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2024-05-18T15:28:25+02:00</dcterms:created>
  <dcterms:modified xsi:type="dcterms:W3CDTF">2024-05-18T15:28:25+02:00</dcterms:modified>
</cp:coreProperties>
</file>

<file path=docProps/custom.xml><?xml version="1.0" encoding="utf-8"?>
<Properties xmlns="http://schemas.openxmlformats.org/officeDocument/2006/custom-properties" xmlns:vt="http://schemas.openxmlformats.org/officeDocument/2006/docPropsVTypes"/>
</file>