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75godz. : 16 wykłady, 20 zapoznanie z literaturą, 29 przygotowanie do egzaminu, 5 konsultacje, 5 egzaminy
</w:t>
      </w:r>
    </w:p>
    <w:p>
      <w:pPr>
        <w:keepNext w:val="1"/>
        <w:spacing w:after="10"/>
      </w:pPr>
      <w:r>
        <w:rPr>
          <w:b/>
          <w:bCs/>
        </w:rPr>
        <w:t xml:space="preserve">Liczba punktów ECTS na zajęciach wymagających bezpośredniego udziału nauczycieli akademickich: </w:t>
      </w:r>
    </w:p>
    <w:p>
      <w:pPr>
        <w:spacing w:before="20" w:after="190"/>
      </w:pPr>
      <w:r>
        <w:rPr/>
        <w:t xml:space="preserve">I. 0,84 ECTS - wykłady
II. 0,2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2024-05-19T16:47:39+02:00</dcterms:created>
  <dcterms:modified xsi:type="dcterms:W3CDTF">2024-05-19T16:47:39+02:00</dcterms:modified>
</cp:coreProperties>
</file>

<file path=docProps/custom.xml><?xml version="1.0" encoding="utf-8"?>
<Properties xmlns="http://schemas.openxmlformats.org/officeDocument/2006/custom-properties" xmlns:vt="http://schemas.openxmlformats.org/officeDocument/2006/docPropsVTypes"/>
</file>