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– 15 godz.,
b) ćwiczenia  laboratoryjne – 15 godz.,
c) konsultacje – 5 godz.
2. Praca własna studenta –  25 godz., w tym:
a) 15 godz. – przygotowanie się do zajęć laboratoryjnych,
b) 10 godz. - przygotowanie się do testu zaliczeniowego.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wykłady – 15 godz.,
b) ćwiczenia 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tym: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
 6. Nowicki K.: Woźniak J. Przewodowe i bezprzewodowe sieci LAN. Oficyna PW, 2002.
 7. Pawlak R.:. Okablowanie strukturalne sieci. Helion, 2008. 
8. Sportack M.: Sieci komputerowe. Helion, 2004. 
Dodatkowa literatura: 
- Materiały na stronie http://ztmir.meil.pw.edu.pl/index.php?/Dydaktyka/Prowadzone-przedmioty/Sieci-Komputerowe,
 - Kursy Internetowe. Dla ambitnych standardy z serii IEEE 802 oraz dokumenty RFC (dostępne online),
 -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ML.NS658_W1: </w:t>
      </w:r>
    </w:p>
    <w:p>
      <w:pPr/>
      <w:r>
        <w:rPr/>
        <w:t xml:space="preserve">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ML.NS658_W2: </w:t>
      </w:r>
    </w:p>
    <w:p>
      <w:pPr/>
      <w:r>
        <w:rPr/>
        <w:t xml:space="preserve">Ma podstawową wiedzę  o działaniu lokalnych sieci komputerowych LAN.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ML.NS658_W3: </w:t>
      </w:r>
    </w:p>
    <w:p>
      <w:pPr/>
      <w:r>
        <w:rPr/>
        <w:t xml:space="preserve">Ma uporządkowaną wiedzę na temat architektury i sposobu działania sieci TCP/IP.  Ma podstawową wiedzę o usługach niezbędnych dla działania sieci TCP/IP.  Ma ogólną wiedzę n/t wybranych zagrożeń występujących w sieciach TCP/IP oraz sposobów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ML.NS658_U1: </w:t>
      </w:r>
    </w:p>
    <w:p>
      <w:pPr/>
      <w:r>
        <w:rPr/>
        <w:t xml:space="preserve">Potrafi zidentyfikować warstwy modelu TCP/IP/Ethernet realizujące ważniejsze funkcje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Potrafi zidentyfikować odpowiednie funkcje sieciowe realizujące typowe zadania związane z transmisją i przetwarzaniem danych w sieciach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Potrafi odczytać adres MAC interfejsu sieciowego w systemie Windows i Linux. Potrafi posługiwać się tablicą routingu MAC w przełącznikach sieciowych. Jest w stanie przeprowadzić podstawową konfigurację przełącznika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Jest w stanie zaproponować prawidłową konfigurację IP wraz z tablicą routingu IP dla urządzenia umieszczonego w sieci zdefiniowanej odpowiednim schematem.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Potrafi zastosować dedykowane narzędzie diagnostyczne do detekcji typowych problemów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Potrafi wybrać właściwą metodę ochrony przed określonym zagrożeniem sieciowym.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2024-05-20T03:39:30+02:00</dcterms:created>
  <dcterms:modified xsi:type="dcterms:W3CDTF">2024-05-20T03:39:30+02:00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