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A12_FTPR</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30 godz. 
czytanie wskazanej literatury 15 godz.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PR, rozumie jej źródła i zastosowanie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W_02: </w:t>
      </w:r>
    </w:p>
    <w:p>
      <w:pPr/>
      <w:r>
        <w:rPr/>
        <w:t xml:space="preserve">Ma uporządkowana wiedzę w zakresie PR, podstaw, zakresu zastosowania dla celów PR techniki związane ze zbieraniem, przetwarzaniem, przesyłaniem, przechowywaniem, zabezpieczaniem i prezentowaniem informacji.</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I.P6S_WG, II.S.P6S_WG.1, II.S.P6S_WG.2, II.H.P6S_WG.1.o, I.P6S_WK,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zdiagnozować potrzeby organizacji w oparciu o analizę: strategii i kultury organizacyjnej oraz zdefiniować zakres zadań komórki PR w jednostkach administracji publicznej.
</w:t>
      </w:r>
    </w:p>
    <w:p>
      <w:pPr>
        <w:spacing w:before="60"/>
      </w:pPr>
      <w:r>
        <w:rPr/>
        <w:t xml:space="preserve">Weryfikacja: </w:t>
      </w:r>
    </w:p>
    <w:p>
      <w:pPr>
        <w:spacing w:before="20" w:after="190"/>
      </w:pPr>
      <w:r>
        <w:rPr/>
        <w:t xml:space="preserve">Kolokwium w formie testu</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Wie na czym polega praca zespołów PR, zna prawne mechanizmy  ich funkcjonowania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K_U05, K_U08</w:t>
      </w:r>
    </w:p>
    <w:p>
      <w:pPr>
        <w:spacing w:before="20" w:after="190"/>
      </w:pPr>
      <w:r>
        <w:rPr>
          <w:b/>
          <w:bCs/>
        </w:rPr>
        <w:t xml:space="preserve">Powiązane charakterystyki obszarowe: </w:t>
      </w:r>
      <w:r>
        <w:rPr/>
        <w:t xml:space="preserve">I.P6S_UO,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PR. Rozumie konieczność  dalszego doskonalenia się zawodowego dotyczącego sposób funkcjonowanie i zmiany społeczeństwa a także reguł, procesów i struktur społecznych.</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K_K10,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2024-05-22T02:03:08+02:00</dcterms:created>
  <dcterms:modified xsi:type="dcterms:W3CDTF">2024-05-22T02:03:08+02:00</dcterms:modified>
</cp:coreProperties>
</file>

<file path=docProps/custom.xml><?xml version="1.0" encoding="utf-8"?>
<Properties xmlns="http://schemas.openxmlformats.org/officeDocument/2006/custom-properties" xmlns:vt="http://schemas.openxmlformats.org/officeDocument/2006/docPropsVTypes"/>
</file>