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5 godz. - konsultacje.
2. Praca własna studenta: 15 godz., w tym:
a) 15 godz. - praca nad przygotowaniem projektu konstrukcyjnego.
3. Razem - 50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30 godz. - projekt,
b) 5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uczestnictwo w zajęciach projektowych - 30 godz.,
b) 15 godz. pracy własnej - przygotowanie projektu konstrukcyjnego.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II, Materiały I, Materiały lotnicze, Techniki Wytwarzania II, Podstawy Konstrukcji Maszyn III, Zapis Konstrukcji CAD II, Zintegrowane systemy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podzespołów lotniczych lub układów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Między innymi projekty podzespołów statków latających. Kształtowanie elementów urządzenia oraz połączeń między nimi. Dobór materiałów. Obliczenia kinematyki, statyki i wytrzymałości elementów urządzenia. Wykonanie w systemie CAD rysunku złożeniowego podzespołu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L.W. Kurmaz,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ML.NK368_W1: </w:t>
      </w:r>
    </w:p>
    <w:p>
      <w:pPr/>
      <w:r>
        <w:rPr/>
        <w:t xml:space="preserve">							Zna zasady doboru materiałów konstrukcyjnych w procesie projektowania maszyn.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ML.NK368_U5: </w:t>
      </w:r>
    </w:p>
    <w:p>
      <w:pPr/>
      <w:r>
        <w:rPr/>
        <w:t xml:space="preserve">							Jest w stanie zaproponować i zastosować podparcie elementów przeniesienia napędu na łożyskach różnego typu o odpowiedniej trwałości, właściwie osadzonych, smarowanych, uszczelnionych i zabezpieczonych; potrafi zaproponować i zastosować dla członów pary kinematycznej łatwe w montażu i demontażu obrotowe połączenie sworzniowe lub inne.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ML.NK368_U5: </w:t>
      </w:r>
    </w:p>
    <w:p>
      <w:pPr/>
      <w:r>
        <w:rPr/>
        <w:t xml:space="preserve">							Jest w stanie zaproponować i zastosować podparcie elementów przeniesienia napędu na łożyskach różnego typu o odpowiedniej trwałości, właściwie osadzonych, smarowanych, uszczelnionych i zabezpieczonych; potrafi zaproponować i zastosować dla członów pary kinematycznej łatwe w montażu i demontażu obrotowe połączenie sworzniowe lub inne.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ML.NK368_U7: </w:t>
      </w:r>
    </w:p>
    <w:p>
      <w:pPr/>
      <w:r>
        <w:rPr/>
        <w:t xml:space="preserve">							Potrafi zaprojektować urządzenie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2024-05-21T17:27:15+02:00</dcterms:created>
  <dcterms:modified xsi:type="dcterms:W3CDTF">2024-05-21T17:27:15+02:00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