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LFM_W01: </w:t>
      </w:r>
    </w:p>
    <w:p>
      <w:pPr/>
      <w:r>
        <w:rPr/>
        <w:t xml:space="preserve">Ma podbudowaną teoretycznie wiedzę w zakresie metod i technik jądrowych, w tym technik medycyny nuklearnej stosowanych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LFM_W02: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 z zakresu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X2A_W07, X2A_W08,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LFM_U01: </w:t>
      </w:r>
    </w:p>
    <w:p>
      <w:pPr/>
      <w:r>
        <w:rPr/>
        <w:t xml:space="preserve">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LFM_U02: </w:t>
      </w:r>
    </w:p>
    <w:p>
      <w:pPr/>
      <w:r>
        <w:rPr/>
        <w:t xml:space="preserve">Ma przygotowanie niezbędne do pracy w środowisku przemysłowym właściwym dla fizyki technicznej i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keepNext w:val="1"/>
        <w:spacing w:after="10"/>
      </w:pPr>
      <w:r>
        <w:rPr>
          <w:b/>
          <w:bCs/>
        </w:rPr>
        <w:t xml:space="preserve">Efekt LFM_U03: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wykorzystania technik i metod jądrowych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LFM_K01: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LFM_K02: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2026-03-23T20:34:11+01:00</dcterms:created>
  <dcterms:modified xsi:type="dcterms:W3CDTF">2026-03-23T20:34:11+01:00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