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10h zajęcia wykładowe + 30h zajęcia projektowe + 2h konsultacje + 13h studia literaturowe + 10h przygotowanie do testu + 55h wykonanie zadań ćwiczeniowych = 120h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10h zajęcia wykładowe + 30h zajęcia projektowe + 2h konsultacje = 42h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3,7 ECTS
30h zajęcia projektowe + 2h konsultacje + 13h studia literaturowe + 10h przygotowanie do testu + 55h wykonanie zadań ćwiczeniowych = 110h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A. Wykład: 
1.	Propozycja wartości w modelu biznesu jako punkt wyjścia do działań marketingowych w internecie 
2.	Projektowanie doświadczeń użytkownika (marketing doświadczeń)
3.	Definiowanie celów marketingu internetowego
4.	Współczesny (internetowy) miks marketingowy
5.	SOSTAC – metoda budowania i realizacji strategii marketingu cyfrowego
6.	„Mapa drogowa” marketingu cyfrowego
7.	Sprzedaż w internecie: lejek sprzedażowy, konwersja, zarządzanie „leadami”
8.	Komunikacja w internecie: przegląd narzędzi i technik
9.	Marketing cyfrowy w praktyce – spotkanie z praktykiem rynku
10.	Test zaliczeniowy
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w:t>
      </w:r>
    </w:p>
    <w:p>
      <w:pPr>
        <w:keepNext w:val="1"/>
        <w:spacing w:after="10"/>
      </w:pPr>
      <w:r>
        <w:rPr>
          <w:b/>
          <w:bCs/>
        </w:rPr>
        <w:t xml:space="preserve">Metody oceny: </w:t>
      </w:r>
    </w:p>
    <w:p>
      <w:pPr>
        <w:spacing w:before="20" w:after="190"/>
      </w:pPr>
      <w:r>
        <w:rPr/>
        <w:t xml:space="preserve">A. Wykład: 
Ocena formatywna:
Ocena zaangażowania studentów w dyskusję podczas wykładów.
Ocena sumatywna:
Test wiedzy (test wielokrotnego wyboru, pytania zamknięte). Ocena z testu w zakresie 2-5. Wymagane jest uzyskanie oceny &gt;=3. Ocena z te-stu jest oceną z wykładu.
D. Projekt:
Ocena formatywna:
Ocena poprawności wykonania zadań projektowych w trakcie zajęć projektowych.
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
E. Końcowa ocena z przedmiotu:
Końcowa ocena z przedmiotu obliczana jest zgodnie z formułą: 0,25 x ocena z wykładu + 0,75 x 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2.	Kalbach, J., 2017. Mapowanie wrażeń. Gliwice: Helion
3.	Kępiński Ł., Kordowski M., Sałkowski D., Sztubecki K., 2015. Marketing internetowy. Nowe możliwości nowi klienci nowe rynki. Warszawa: Poltext
4.	Mazurek G., 2012. Znaczenie wirtualizacji marketingu w sieciowym kreowaniu wartości. Warszawa: Poltext
5.	Strauss J., Frost R. D., 2014. E-marketing (7th ed.). Harlow: Pearson Education Limited</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2026-08-19T19:18:18+02:00</dcterms:created>
  <dcterms:modified xsi:type="dcterms:W3CDTF">2026-08-19T19:18:18+02:00</dcterms:modified>
</cp:coreProperties>
</file>

<file path=docProps/custom.xml><?xml version="1.0" encoding="utf-8"?>
<Properties xmlns="http://schemas.openxmlformats.org/officeDocument/2006/custom-properties" xmlns:vt="http://schemas.openxmlformats.org/officeDocument/2006/docPropsVTypes"/>
</file>