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27 h-zapoznanie z literaturą, 27 h-przygotowanie do egzaminu 19h-przygotowanie do zajęć, 20 h- przygotowanie do kolokwium), 	łącznie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Struktura handlu światowego. 2.Klasyczne teorie handlu międzynarodowego 3. Teoria HOS i teorie alternatywne handlu międzynarodowego. 4. Międzynarodowe przepływy kapitałowe i migracja zasobów pracy 5. Zagraniczna polityka handlowa. 6.Polityka integracyjna 7.Bilans płatniczy. 8.Kurs walutowy i rynek walutowy
Ćwiczenia (tematy)
1.Międzynarodowy podział pracy a gospodarka światowa. Tradycyjny  i produkcyjny międzynarodowy podział pracy. Czynniki determinujące międzynarodowy podział pracy. 2.Teoria przewagi absolutnej i komparatywnej 3. Narzędzia badawcze neoklasycznej teorii handlu zagranicznego. Terms of trade. 4. Formy międzynarodowego przepływu kapitału. BIZ w Polsce 5. Cło. Mechanizm  cła i jego ekonomiczne skutki. 6. Bariery poza i parotaryfowe. 7.Mechanizm integracji gospodarczej 8.Struktura bilansu płatniczego-polski bilans płatniczy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Budnikowski A., Ekonomia międzynarodowa, PWE 2016
2.	Bożyk P., Międzynarodowe stosunki ekonomiczne, PWE 2008
3.	Rymarczyk J., Międzynarodowe stosunki gospodarcze, PWE 2010
4.	Budnikowski A. ,Międzynarodowe stosunki gospodarcze, PWE 2006
Literatura uzupełniająca:
1.	Guzek M., Międzynarodowe stosunki gospodarcze. Zarys teorii i polityki handlowej, PWE Warszawa 2006
2.	Krugman P., R., Obstfeld M., Międzynarodowe stosunki gospodarcze, PWN, Warszawa 2004
3.	Oziewicz E., Michałowski T., Międzynarodowe stosunki gospodarcze. Teoria i praktyka, PWE Warszawa 2012
4.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efekty kierunkowe: </w:t>
      </w:r>
      <w:r>
        <w:rPr/>
        <w:t xml:space="preserve">K_WO8</w:t>
      </w:r>
    </w:p>
    <w:p>
      <w:pPr>
        <w:spacing w:before="20" w:after="190"/>
      </w:pPr>
      <w:r>
        <w:rPr>
          <w:b/>
          <w:bCs/>
        </w:rPr>
        <w:t xml:space="preserve">Powiązane efekty obszarowe: </w:t>
      </w:r>
      <w:r>
        <w:rPr/>
        <w:t xml:space="preserve">S1P_W05, S1P_W08</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2025-12-29T14:57:51+01:00</dcterms:created>
  <dcterms:modified xsi:type="dcterms:W3CDTF">2025-12-29T14:57:51+01:00</dcterms:modified>
</cp:coreProperties>
</file>

<file path=docProps/custom.xml><?xml version="1.0" encoding="utf-8"?>
<Properties xmlns="http://schemas.openxmlformats.org/officeDocument/2006/custom-properties" xmlns:vt="http://schemas.openxmlformats.org/officeDocument/2006/docPropsVTypes"/>
</file>