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HES1_2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nt. prowadzącego przedmiot są podane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NHES2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 Ok. 50 godzin, w tym:
a) zajęcia audytoryjne - 30 godzin.
b) praca własna, przygotowanie do zaliczenia - 18 godzin.
c) konsultacje - 2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1,25 punktu ECTS (ok. 32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sformułowanie celów kształcenia podane jest w 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treści merytoryczne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Metody oceny podane są w Karcie Przedmiotu każdego z proponowanych kursów.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Szczegółowy spis lektur zależy od wybranego przedmiotu i jest podany w jego Karcie Przedmiotu.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efekty kształcenia zależą od wybranego przedmiotu i są opisane w jego Karcie Przedmiotu.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E1_W34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Szczegółowe informacje są podane w Karcie danego Przedmiotu.: </w:t>
      </w:r>
    </w:p>
    <w:p>
      <w:pPr/>
      <w:r>
        <w:rPr/>
        <w:t xml:space="preserve">Szczegółowe treści efektów kształcenia zależą od wybranego przedmiotu i są opisane w jego Karcie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Szczegółowe informacje nt. metod oceny efektów kształcenia są podane w Karcie danego Przedmiotu.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2024-05-18T17:04:50+02:00</dcterms:created>
  <dcterms:modified xsi:type="dcterms:W3CDTF">2024-05-18T17:04:50+02:00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