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Porowski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- 17, w tym:
a) 15 godzin udziału w zajęciach laboratoryjnych;
b) 2 godziny konsultacji.
2. Praca własna studenta - 18 godzin, w tym:
a) nauka do kolokwium: 3 godz.,
b) przygotowanie sprawozdań: 15 godz
Razem - 35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0.6 ECTS - liczba godzin kontaktowych - 17, w tym:
a) 15 godzin udziału w zajęciach laboratoryjnych;
b) 2 godziny konsultacji.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spalania, termodynamiki oraz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rodzajów płomienia i metod stabilizacji płomienia w przepływie. Poznanie zasad i sposobów prowadzenia badań podstawowych w dziedzinie spalania. Nauczenie podstawowych technik pomiarowych  procesów  spalania i wybuchu. Nauczenie podstawowych zasad budowy i tworzenia systemów przeciwpożarowych i przeciwwybuchowych.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Samozapłon i zapłon wymuszony; spalanie dyfuzyjne - laminarne i turbulentne; spalanie kinetyczne - laminarne i turbulentne; metody stabilizacji płomienia; mechanizm spalania cząstek stałych i kropel paliwa; spalanie detonacyjne; wizualizacja i rejestracja procesów spalania; toksyczne własności produktów spalania, dynamika rozwoju i tłumienia wybuchów,  systemy przeciwpożarowe i przeciwwybuchowe.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ze sprawozdań z ćwiczeń laboratoryjnych oraz na podstawie kolokwium pisemnego.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Jarosiński „Techniki Czystego Spalania” WNT 1996.
2. W. Kordylewski „Spalanie i Paliwa” Wydawnictwa Politechniki Wrocławskiej 2001.
3. R. Wilk „Podstawy niskoemisyjnego spalania” Wydawnictwo Gnome, Katowice 2000.
4. A. Kowalewicz „Podstawy Procesów Spalania”, WNT 2000; Rudolf Klemens.
5. A. Teodorczyk „Spalanie” – preskrypt dla studiów zaocznych „Inżynieria Bezpieczeństwa”, Politechnika Warszawska, Wydział MEiL, 2003.
6. D. Ratajczak, R. Klemens „Ochrona przeciwpożarowa i przeciwwybuchowa” – preskrypt dla Studium Podyplomowego „Bezpieczeństwo i Higiena Pracy”, Politechnika Warszawska, Wydział MEiL, 2005.
Dodatkowa literatura:  broszury, instrukcje i opisy stanowisk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Uczestnictwo w zajęciach jest obowiązkowe.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ML.NS616_W1: </w:t>
      </w:r>
    </w:p>
    <w:p>
      <w:pPr/>
      <w:r>
        <w:rPr/>
        <w:t xml:space="preserve">Student zna podstawowe rodzaje płomieni i palników.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ML.NS616_W2: </w:t>
      </w:r>
    </w:p>
    <w:p>
      <w:pPr/>
      <w:r>
        <w:rPr/>
        <w:t xml:space="preserve">							Student zna zasady i sposoby prowadzenia badań podstawowych w dziedzinie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ML.NS616_W3: </w:t>
      </w:r>
    </w:p>
    <w:p>
      <w:pPr/>
      <w:r>
        <w:rPr/>
        <w:t xml:space="preserve">							Student zna podstawowe metody obserwacji, pomiarowe i rejestracji procesów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ML.NS616_U1: </w:t>
      </w:r>
    </w:p>
    <w:p>
      <w:pPr/>
      <w:r>
        <w:rPr/>
        <w:t xml:space="preserve">														Student potrafi wyznaczyć normalną prędkość spalania palnej mieszaniny gazowej.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LiK1_U09,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LiK1_U03,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T1A_U05, T1A_U08</w:t>
      </w:r>
    </w:p>
    <w:p>
      <w:pPr>
        <w:keepNext w:val="1"/>
        <w:spacing w:after="10"/>
      </w:pPr>
      <w:r>
        <w:rPr>
          <w:b/>
          <w:bCs/>
        </w:rPr>
        <w:t xml:space="preserve">Efekt ML.NS616_U3: </w:t>
      </w:r>
    </w:p>
    <w:p>
      <w:pPr/>
      <w:r>
        <w:rPr/>
        <w:t xml:space="preserve">							Student potrafi przeprowadzić oznaczenie podstawowych parametrów wybuchowych mieszanin pyłowo-powietrznych.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</w:t>
      </w:r>
    </w:p>
    <w:p>
      <w:pPr>
        <w:keepNext w:val="1"/>
        <w:spacing w:after="10"/>
      </w:pPr>
      <w:r>
        <w:rPr>
          <w:b/>
          <w:bCs/>
        </w:rPr>
        <w:t xml:space="preserve">Efekt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2026-07-27T10:54:59+02:00</dcterms:created>
  <dcterms:modified xsi:type="dcterms:W3CDTF">2026-07-27T10:54:59+02:00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