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silników lotniczych</w:t>
      </w:r>
    </w:p>
    <w:p>
      <w:pPr>
        <w:keepNext w:val="1"/>
        <w:spacing w:after="10"/>
      </w:pPr>
      <w:r>
        <w:rPr>
          <w:b/>
          <w:bCs/>
        </w:rPr>
        <w:t xml:space="preserve">Koordynator przedmiotu: </w:t>
      </w:r>
    </w:p>
    <w:p>
      <w:pPr>
        <w:spacing w:before="20" w:after="190"/>
      </w:pPr>
      <w:r>
        <w:rPr/>
        <w:t xml:space="preserve">dr inż. Józef Zawora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wykładach - 30 godz.;
b) konsultacje -  5 godz.
Praca własna studenta - 40 godzin, w tym:
a)  zapoznanie się ze wskazaną literaturą 20 godz.;
b) przygotowanie się do zaliczenia 20 godz.;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obecność na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Podstawowa wiedza o materiałach konstrukcyjnych, ich właściwościach, podatności na podstawowe sposoby obróbki oraz odmianach obróbki cieplej i cieplno chemicznej. Podstawowe wiadomości z zakresu charakteru obciążeń wytrzymałościowych i termicznych. Techniki wytwarzania w zakresie znajomości podstawowych metod i sposobów obróbki, rodzajów obrabiarek i narzędzi oraz ich wpływu na własności użytkowe przedmiotu. Zapis konstrukcji i zasady projektowania części maszyn. Systemy CAD/CAM/CAE.</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Ogólna wiedza na temat metod i środków (maszyn, narzędzi i urządzeń) stosowanych do wytwarzania części silników lotniczych w powiązaniu z ich oddziaływaniem na właściwości użytkowe i niezawodność działania. Umiejętność planowania ciągów operacji technologicznych z uwzględnieniem ich struktur oraz oddziaływania na własności części silników lotniczych.</w:t>
      </w:r>
    </w:p>
    <w:p>
      <w:pPr>
        <w:keepNext w:val="1"/>
        <w:spacing w:after="10"/>
      </w:pPr>
      <w:r>
        <w:rPr>
          <w:b/>
          <w:bCs/>
        </w:rPr>
        <w:t xml:space="preserve">Treści kształcenia: </w:t>
      </w:r>
    </w:p>
    <w:p>
      <w:pPr>
        <w:spacing w:before="20" w:after="190"/>
      </w:pPr>
      <w:r>
        <w:rPr/>
        <w:t xml:space="preserve">Uzupełnienie wiadomości z zakresu oznaczania materiałów, struktury geometrycznej części - GPS (z ang. Geometrical Part Surface) wg norm PN-EN i PN EN-ISO. Nowe odmiany obróbki oraz rozwiązania konstrukcyjne i materiałowe w zakresie obrabiarek, narzędzi, metod wytwarzania ze wspomaganiem systemów CAD/CAM/CAE. Charakterystyka wytwarzania silników lotniczych; charakterystyka warunków pracy głównych części silników lotniczych (tłokowych i turbinowych) i wynikające z tego wymagania odnośnie: doboru materiałów, dokładności geometrycznej, struktury geometrycznej powierzchni (SGP), struktury metalograficznej i właściwości użytkowych części oraz zespołów. Struktura procesu technologicznego części funkcjonalnie ważnych o wysokich wymaganiach technicznych. Metody, sposoby i środki wytwarzania oraz dobór operacji technologicznych oraz operacji kontroli jakości dla głównych części silników lotniczych (wały korbowe, wałki i krzywki rozrządu, cylindry chłodzone powietrzem, tłoki, pierścienie tłokowe, zawory, gniazda i sprężyny zaworowe, korpusy, korpusy silników turboodrzutowych, komory spalania, dysze i nasadki odrzutowe, łopatki sprężarkowe i turbinowe, dyski turbin i bębny sprężarek, wały turbin i sprężarek, koła zębate przekładni szybkoobrotowych, skrzynki lotniczych przekładni zębatych). Wiadomości podstawowe z automatyzacji procesów wytwarzania i kontroli tych części. Ekonomika metod i sposobów wytwarzania w powiązaniu z kryteriami bezpieczeństwa i niezawodności działania silników lotniczych.</w:t>
      </w:r>
    </w:p>
    <w:p>
      <w:pPr>
        <w:keepNext w:val="1"/>
        <w:spacing w:after="10"/>
      </w:pPr>
      <w:r>
        <w:rPr>
          <w:b/>
          <w:bCs/>
        </w:rPr>
        <w:t xml:space="preserve">Metody oceny: </w:t>
      </w:r>
    </w:p>
    <w:p>
      <w:pPr>
        <w:spacing w:before="20" w:after="190"/>
      </w:pPr>
      <w:r>
        <w:rPr/>
        <w:t xml:space="preserve">Dwa kolokwia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Łunarski Jerzy: „Technologia Silników lotniczych”, Wyd. Oficyna Politechniki Rzeszowskiej 1989.
2. Treager I. E. Aircraft Gas Turbine Engine Technology, Mc Grow Hill, 1980.
3. Feld Mieczysław. Technologia Budowy Maszyn, PWN 2000.
Dodatkowa literatura:
1. Józef Zawora, Podstawy Technologii Maszyn, wydanie piąte, WSiP, Warszawa 2008.
2. Mechanik, Miesięcznik Naukowo Techniczny, Agenda Wydawnicza SIMP, Warszawa.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ML.NS563_W1: </w:t>
      </w:r>
    </w:p>
    <w:p>
      <w:pPr/>
      <w:r>
        <w:rPr/>
        <w:t xml:space="preserve">Posiada podstawowe informacje dotyczące systemu oznaczeń materiałów konstrukcyjnych oraz struktury geometrycznej powierzchni wg PN-EN i PN EN-ISO.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ML.NS563_W2: </w:t>
      </w:r>
    </w:p>
    <w:p>
      <w:pPr/>
      <w:r>
        <w:rPr/>
        <w:t xml:space="preserve">Zna zakresy wartości tolerancji wymiarowych oraz odchyłek kształtu i położenia stosowanych w podstawowych elementach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ML.NS563_W3: </w:t>
      </w:r>
    </w:p>
    <w:p>
      <w:pPr/>
      <w:r>
        <w:rPr/>
        <w:t xml:space="preserve">Zna zasady tworzenia podstawowych struktur procesów technologicznych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ML.NS563_W4: </w:t>
      </w:r>
    </w:p>
    <w:p>
      <w:pPr/>
      <w:r>
        <w:rPr/>
        <w:t xml:space="preserve">Posiada znajomość zasad wyboru baz obróbkowych dla poszczególnych grup konstrukcyjnych części wg podobieństwa technologicznego.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ML.NS563_W5: </w:t>
      </w:r>
    </w:p>
    <w:p>
      <w:pPr/>
      <w:r>
        <w:rPr/>
        <w:t xml:space="preserve">Posiada znajomość podstawowych materiałów lotniczych stosowanych na wysoko obciążone części silników.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ML.NS563_W6: </w:t>
      </w:r>
    </w:p>
    <w:p>
      <w:pPr/>
      <w:r>
        <w:rPr/>
        <w:t xml:space="preserve">Zna podstawowe możliwości nowoczesnych obrabiarek konwencjonalnych i CNC stosowanych w procesach wytwarzania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ML.NS563_W7: </w:t>
      </w:r>
    </w:p>
    <w:p>
      <w:pPr/>
      <w:r>
        <w:rPr/>
        <w:t xml:space="preserve">Posiada znajomość nowych metod technologicznych zapewniających jakość produkcji oraz kierunki ich rozwoju.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 LiK2_W16</w:t>
      </w:r>
    </w:p>
    <w:p>
      <w:pPr>
        <w:spacing w:before="20" w:after="190"/>
      </w:pPr>
      <w:r>
        <w:rPr>
          <w:b/>
          <w:bCs/>
        </w:rPr>
        <w:t xml:space="preserve">Powiązane efekty obszarowe: </w:t>
      </w:r>
      <w:r>
        <w:rPr/>
        <w:t xml:space="preserve">T2A_W05, T2A_W05</w:t>
      </w:r>
    </w:p>
    <w:p>
      <w:pPr>
        <w:pStyle w:val="Heading3"/>
      </w:pPr>
      <w:bookmarkStart w:id="3" w:name="_Toc3"/>
      <w:r>
        <w:t>Profil ogólnoakademicki - umiejętności</w:t>
      </w:r>
      <w:bookmarkEnd w:id="3"/>
    </w:p>
    <w:p>
      <w:pPr>
        <w:keepNext w:val="1"/>
        <w:spacing w:after="10"/>
      </w:pPr>
      <w:r>
        <w:rPr>
          <w:b/>
          <w:bCs/>
        </w:rPr>
        <w:t xml:space="preserve">Efekt ML.NS563_U1: </w:t>
      </w:r>
    </w:p>
    <w:p>
      <w:pPr/>
      <w:r>
        <w:rPr/>
        <w:t xml:space="preserve">Umie porównywać własności materiałów wg starych i nowych norm PN-EN i PN EN- ISO oraz oznaczać dodatkowe wymagania struktury geometrycznej.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LiK2_U01, LiK2_U12, LiK2_U13, LiK2_U15</w:t>
      </w:r>
    </w:p>
    <w:p>
      <w:pPr>
        <w:spacing w:before="20" w:after="190"/>
      </w:pPr>
      <w:r>
        <w:rPr>
          <w:b/>
          <w:bCs/>
        </w:rPr>
        <w:t xml:space="preserve">Powiązane efekty obszarowe: </w:t>
      </w:r>
      <w:r>
        <w:rPr/>
        <w:t xml:space="preserve">T2A_U01, T2A_U12, T2A_U13, T2A_U15</w:t>
      </w:r>
    </w:p>
    <w:p>
      <w:pPr>
        <w:keepNext w:val="1"/>
        <w:spacing w:after="10"/>
      </w:pPr>
      <w:r>
        <w:rPr>
          <w:b/>
          <w:bCs/>
        </w:rPr>
        <w:t xml:space="preserve">Efekt ML.NS563_U2: </w:t>
      </w:r>
    </w:p>
    <w:p>
      <w:pPr/>
      <w:r>
        <w:rPr/>
        <w:t xml:space="preserve">Potrafi dobrać właściwe metody technologiczne zapewniające wymagane tolerancje wymiarów, kształtu i położenia.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LiK2_U19</w:t>
      </w:r>
    </w:p>
    <w:p>
      <w:pPr>
        <w:spacing w:before="20" w:after="190"/>
      </w:pPr>
      <w:r>
        <w:rPr>
          <w:b/>
          <w:bCs/>
        </w:rPr>
        <w:t xml:space="preserve">Powiązane efekty obszarowe: </w:t>
      </w:r>
      <w:r>
        <w:rPr/>
        <w:t xml:space="preserve">T2A_U12, T2A_U15, T2A_U19</w:t>
      </w:r>
    </w:p>
    <w:p>
      <w:pPr>
        <w:keepNext w:val="1"/>
        <w:spacing w:after="10"/>
      </w:pPr>
      <w:r>
        <w:rPr>
          <w:b/>
          <w:bCs/>
        </w:rPr>
        <w:t xml:space="preserve">Efekt ML.NS563_U3: </w:t>
      </w:r>
    </w:p>
    <w:p>
      <w:pPr/>
      <w:r>
        <w:rPr/>
        <w:t xml:space="preserve">Potrafi zaprojektować właściwą strukturę podstawowych procesów technologicznych  zasadniczych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LiK2_U19</w:t>
      </w:r>
    </w:p>
    <w:p>
      <w:pPr>
        <w:spacing w:before="20" w:after="190"/>
      </w:pPr>
      <w:r>
        <w:rPr>
          <w:b/>
          <w:bCs/>
        </w:rPr>
        <w:t xml:space="preserve">Powiązane efekty obszarowe: </w:t>
      </w:r>
      <w:r>
        <w:rPr/>
        <w:t xml:space="preserve">T2A_U12, T2A_U15, T2A_U19</w:t>
      </w:r>
    </w:p>
    <w:p>
      <w:pPr>
        <w:keepNext w:val="1"/>
        <w:spacing w:after="10"/>
      </w:pPr>
      <w:r>
        <w:rPr>
          <w:b/>
          <w:bCs/>
        </w:rPr>
        <w:t xml:space="preserve">Efekt ML.NS563_U4: </w:t>
      </w:r>
    </w:p>
    <w:p>
      <w:pPr/>
      <w:r>
        <w:rPr/>
        <w:t xml:space="preserve">Umie dobrać materiały, metody obróbki i kontroli zapewniające jakość.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LiK2_U18, LiK2_U19</w:t>
      </w:r>
    </w:p>
    <w:p>
      <w:pPr>
        <w:spacing w:before="20" w:after="190"/>
      </w:pPr>
      <w:r>
        <w:rPr>
          <w:b/>
          <w:bCs/>
        </w:rPr>
        <w:t xml:space="preserve">Powiązane efekty obszarowe: </w:t>
      </w:r>
      <w:r>
        <w:rPr/>
        <w:t xml:space="preserve">T2A_U12, T2A_U15, T2A_U18, T2A_U19</w:t>
      </w:r>
    </w:p>
    <w:p>
      <w:pPr>
        <w:keepNext w:val="1"/>
        <w:spacing w:after="10"/>
      </w:pPr>
      <w:r>
        <w:rPr>
          <w:b/>
          <w:bCs/>
        </w:rPr>
        <w:t xml:space="preserve">Efekt ML.NS563_U5: </w:t>
      </w:r>
    </w:p>
    <w:p>
      <w:pPr/>
      <w:r>
        <w:rPr/>
        <w:t xml:space="preserve">Potrafi dobrać narzędzia, warunki i parametry obróbki.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LiK2_U16, LiK2_U17, LiK2_U18, LiK2_U19</w:t>
      </w:r>
    </w:p>
    <w:p>
      <w:pPr>
        <w:spacing w:before="20" w:after="190"/>
      </w:pPr>
      <w:r>
        <w:rPr>
          <w:b/>
          <w:bCs/>
        </w:rPr>
        <w:t xml:space="preserve">Powiązane efekty obszarowe: </w:t>
      </w:r>
      <w:r>
        <w:rPr/>
        <w:t xml:space="preserve">T2A_U16,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2026-04-17T19:22:41+02:00</dcterms:created>
  <dcterms:modified xsi:type="dcterms:W3CDTF">2026-04-17T19:22:41+02:00</dcterms:modified>
</cp:coreProperties>
</file>

<file path=docProps/custom.xml><?xml version="1.0" encoding="utf-8"?>
<Properties xmlns="http://schemas.openxmlformats.org/officeDocument/2006/custom-properties" xmlns:vt="http://schemas.openxmlformats.org/officeDocument/2006/docPropsVTypes"/>
</file>