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 upoważniony przez Radę Wydziału do kierowania pracami dyplomowymi.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500, w tym: 
1. Liczba godzin wymagających bezpośredniego kontaktu z opiekunem: 200.
a) spotkania i konsultacje - 199 godz. 
b) zaliczenie przedmiotu - 1 godz. 
2. Liczba godzin pracy własnej: 300.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punktów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MiBM2_U02, MiBM2_U05, MiBM2_U07, MiBM2_U17, 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T2A_U05, T2A_U07, T2A_U13, T2A_U16</w:t>
      </w:r>
    </w:p>
    <w:p>
      <w:pPr>
        <w:keepNext w:val="1"/>
        <w:spacing w:after="10"/>
      </w:pPr>
      <w:r>
        <w:rPr>
          <w:b/>
          <w:bCs/>
        </w:rPr>
        <w:t xml:space="preserve">Efekt ML.NW137_U3: </w:t>
      </w:r>
    </w:p>
    <w:p>
      <w:pPr/>
      <w:r>
        <w:rPr/>
        <w:t xml:space="preserve">Potrafi samodzielnie rozwiązać proste zadanie naukowe.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MiBM2_U15, MiBM2_U16, MiBM2_U22,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T2A_U14, T2A_U18, T2A_U19</w:t>
      </w:r>
    </w:p>
    <w:p>
      <w:pPr>
        <w:keepNext w:val="1"/>
        <w:spacing w:after="10"/>
      </w:pPr>
      <w:r>
        <w:rPr>
          <w:b/>
          <w:bCs/>
        </w:rPr>
        <w:t xml:space="preserve">Efekt ML.NW137_U4: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ML.NW137_U5: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MiBM2_U03, MiBM2_U04, MiBM2_U07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ML.NW137_K1: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ML.NW137_K2: </w:t>
      </w:r>
    </w:p>
    <w:p>
      <w:pPr/>
      <w:r>
        <w:rPr/>
        <w:t xml:space="preserve">Ma świadomość ważności i zrozumienie pozatechnicznych aspektów i skutków działalności inżynierskiej, w tym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ML.NW137_K3: </w:t>
      </w:r>
    </w:p>
    <w:p>
      <w:pPr/>
      <w:r>
        <w:rPr/>
        <w:t xml:space="preserve">Potrafi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p>
      <w:pPr>
        <w:keepNext w:val="1"/>
        <w:spacing w:after="10"/>
      </w:pPr>
      <w:r>
        <w:rPr>
          <w:b/>
          <w:bCs/>
        </w:rPr>
        <w:t xml:space="preserve">Efekt 	ML.NW137_K4: </w:t>
      </w:r>
    </w:p>
    <w:p>
      <w:pPr/>
      <w:r>
        <w:rPr/>
        <w:t xml:space="preserve">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	ML.NW137_K5: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2024-05-21T19:56:32+02:00</dcterms:created>
  <dcterms:modified xsi:type="dcterms:W3CDTF">2024-05-21T19:56:32+02:00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