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Dekompozycja złożonych systemów sterowania. Warstwowy układ sterowania.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Dodatkowa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AiR2_W01, AiR2_W03</w:t>
      </w:r>
    </w:p>
    <w:p>
      <w:pPr>
        <w:spacing w:before="20" w:after="190"/>
      </w:pPr>
      <w:r>
        <w:rPr>
          <w:b/>
          <w:bCs/>
        </w:rPr>
        <w:t xml:space="preserve">Powiązane efekty obszarowe: </w:t>
      </w:r>
      <w:r>
        <w:rPr/>
        <w:t xml:space="preserve">T2A_W01, T2A_W02, T2A_W04, T2A_W03, T2A_W04</w:t>
      </w:r>
    </w:p>
    <w:p>
      <w:pPr>
        <w:keepNext w:val="1"/>
        <w:spacing w:after="10"/>
      </w:pPr>
      <w:r>
        <w:rPr>
          <w:b/>
          <w:bCs/>
        </w:rPr>
        <w:t xml:space="preserve">Efekt ML.NK482_W2: </w:t>
      </w:r>
    </w:p>
    <w:p>
      <w:pPr/>
      <w:r>
        <w:rPr/>
        <w:t xml:space="preserve">							Zna podstawy sterowania rozmytego.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ML.NK482_W3: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ML.NK482_W4: </w:t>
      </w:r>
    </w:p>
    <w:p>
      <w:pPr/>
      <w:r>
        <w:rPr/>
        <w:t xml:space="preserve">							Zna rozszerzone metody regulacji oparte o sterownik PID.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AiR2_W12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efekty kierunkowe: </w:t>
      </w:r>
      <w:r>
        <w:rPr/>
        <w:t xml:space="preserve">AiR2_U01, AiR2_U04</w:t>
      </w:r>
    </w:p>
    <w:p>
      <w:pPr>
        <w:spacing w:before="20" w:after="190"/>
      </w:pPr>
      <w:r>
        <w:rPr>
          <w:b/>
          <w:bCs/>
        </w:rPr>
        <w:t xml:space="preserve">Powiązane efekty obszarowe: </w:t>
      </w:r>
      <w:r>
        <w:rPr/>
        <w:t xml:space="preserve">T2A_U01,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2026-07-27T12:34:58+02:00</dcterms:created>
  <dcterms:modified xsi:type="dcterms:W3CDTF">2026-07-27T12:34:58+02:00</dcterms:modified>
</cp:coreProperties>
</file>

<file path=docProps/custom.xml><?xml version="1.0" encoding="utf-8"?>
<Properties xmlns="http://schemas.openxmlformats.org/officeDocument/2006/custom-properties" xmlns:vt="http://schemas.openxmlformats.org/officeDocument/2006/docPropsVTypes"/>
</file>