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godzin. &lt;br&gt;
2) Praca własna 40 godzin. – przygotowanie projektu. &lt;br&gt;
Razem – 100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 - 60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metody elementów skończonych i metody układów wieloczłonowych.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złożonych konstrukcji inżynierskich, ich analizy kinematycznej, statycznej, dynamicznej 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metody elementów skończonych lub metody układów wieloczłonowych rzeczywistych konstrukcji inżynierskich z obszaru robotyki oraz analizy kinematyczne, statyczne, dynamiczne i wyznaczanie obciążeń krytycznych.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ML.NK380_W1: </w:t>
      </w:r>
    </w:p>
    <w:p>
      <w:pPr/>
      <w:r>
        <w:rPr/>
        <w:t xml:space="preserve">Zna i  rozumie  model  fizyczny  oraz  matematyczny  nowej struktury (będącej przedmiotem  projektu)  nie objętej 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ML.NK380_U1: </w:t>
      </w:r>
    </w:p>
    <w:p>
      <w:pPr/>
      <w:r>
        <w:rPr/>
        <w:t xml:space="preserve">Umie  opisać  i  objaśnić model  fizyczny  oraz  matematyczny 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2026-07-27T23:19:30+02:00</dcterms:created>
  <dcterms:modified xsi:type="dcterms:W3CDTF">2026-07-27T23:19:30+02:00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