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z nauczycielem – 30, w tym:
a)	udział w wykładach – 15 godz.,
b)	udział w ćwiczeniach – 15 godz.
2) Praca własna studenta – 20 godzin, w tym:
a)	generalne przygotowanie się studenta do zajęć – 6 godz.,
b)	przygotowanie indywidualnej prezentacji studenta – 8 godz.,
c)	przygotowanie się do kolokwium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godziny kontaktowe z nauczycielem – 30, w tym:
a)	udział w wykładach – 15 godz.,
b)	udział w ćwiczeniach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powinni umieć rozwiązywać zagadnienia związane z budową i eksploatacją urządzeń chłodniczych kaskadowych i autokaskadowych i projektowaniem instalacji z czynnikiem pośrednim.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Handbook.
Dodatkowe literatura: materiały na stronie http://www.itc.pw.edu.pl/Studia/Materialy-dla-Studentow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ML.NS653A _W1: </w:t>
      </w:r>
    </w:p>
    <w:p>
      <w:pPr/>
      <w:r>
        <w:rPr/>
        <w:t xml:space="preserve">Student ma wiedzę dotyczącą stosowania metody Pinch Piont w kojarzeniu strumeni cieplnych za pomocą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ML.NS653A_W5: </w:t>
      </w:r>
    </w:p>
    <w:p>
      <w:pPr/>
      <w:r>
        <w:rPr/>
        <w:t xml:space="preserve">	Student rozumie zasadę działania autokaskadowych układów chłodniczych oraz wie jakie czynniki robocze są wykorzystywane w takich układach.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ML.NS653A_U1: </w:t>
      </w:r>
    </w:p>
    <w:p>
      <w:pPr/>
      <w:r>
        <w:rPr/>
        <w:t xml:space="preserve">							Student umie skojarzyć odpowiednie strumienie ciepła za pomocą wymienników stosując metodę Pinch Point Technology.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ML.NS653A_U2: </w:t>
      </w:r>
    </w:p>
    <w:p>
      <w:pPr/>
      <w:r>
        <w:rPr/>
        <w:t xml:space="preserve">Student jest w stanie dokonać uproszczonych obliczeń cieplno-przepływowych skraplacza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ML.NS653A_U3: </w:t>
      </w:r>
    </w:p>
    <w:p>
      <w:pPr/>
      <w:r>
        <w:rPr/>
        <w:t xml:space="preserve">Student potrafi zaprojektować instalację chłodniczą do zamrażania żywności.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2026-06-12T04:48:20+02:00</dcterms:created>
  <dcterms:modified xsi:type="dcterms:W3CDTF">2026-06-12T04:48:20+02:00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