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5 - Prognoza skutków finansowych uchwalenia miejscowego planu zagospodarowania p</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
b) udział w konsultacjach związanych z realizacją pracy zaliczeniowej - 2 godz.
2. Praca własna studenta - przygotowanie w domu pracy zaliczeniowej - 13 godz.
Łączny nakład pracy studenta wynosi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- 17, w tym:
a) uczestnictwo w wykładach - 15 godz.
b) udział w konsultacjach związanych z realizacją pracy zaliczeniowej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gospodarki nieruchomościami - rozumienie istoty procesu podziału nieruchomości (połączenia i ponownego podziału) oraz scalenia i podziału nieruchomości, znajomość metodologii wyceny nieruchomości gruntowych; planowania przestrzennego w gminie oraz rozumienie wieloaspektowości tego procesu; zadań własnych gminy.
</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Zdobycie wiedzy z zakresu budowy i treści prognozy skutków finansowych uchwalenia miejscowego planu zagospodarowania przestrzennego, jej miejsca i znaczenia w kształtowaniu polityki przestrzennej przez gminę. Zapoznanie studenta z zasadami określania spodziewanych dochodów wynikających z zapisów planu oraz kosztów realizacji inwestycji celu publicznego, które należą do zadań własnych gminy. </w:t>
      </w:r>
    </w:p>
    <w:p>
      <w:pPr>
        <w:keepNext w:val="1"/>
        <w:spacing w:after="10"/>
      </w:pPr>
      <w:r>
        <w:rPr>
          <w:b/>
          <w:bCs/>
        </w:rPr>
        <w:t xml:space="preserve">Treści kształcenia: </w:t>
      </w:r>
    </w:p>
    <w:p>
      <w:pPr>
        <w:spacing w:before="20" w:after="190"/>
      </w:pPr>
      <w:r>
        <w:rPr/>
        <w:t xml:space="preserve">Miejsce i znaczenie prognozy skutków finansowych uchwalenia miejscowego planu i zagospodarowania przestrzennego w kształtowaniu polityki przestrzennej przez gminę.
Cel i zakres prognozy skutków finansowych uchwalenia miejscowego planu i zagospodarowania przestrzennego.
Podstawy prawne opracowania.
Źródła danych merytorycznych.
Założenia merytoryczne tworzenia prognozy.
Opis stanu nieruchomości.
Analiza rynku nieruchomości gruntowych.
Zasady i procedura określenia potencjalnych dochodów gminy:
- opłaty planistyczne z tytułu wzrostu wartości nieruchomości,
- opłaty adiacenckie z tytułu podziału nieruchomości,
- opłaty adiacenckie z tytułu scalenia i podziału nieruchomości,
- opłaty adiacenckie z tytułu udziału w kosztach budowy infrastruktury technicznej,
- wzrost podatków od nieruchomości,
- podatek od czynności cywilno-prawnych,
- dochód ze sprzedaży lud oddania w użytkowanie wieczyste gruntów miejskich,
- podatek dochody od osób fizycznych.
Zasady i procedura określenia potencjalnych kosztów:
- koszty związane z nabyciem gruntów pod drogi publiczne,
- koszty związane z nabyciem nieruchomości dla potrzeb realizacji celów publicznych,
- koszty związane z roszczeniami planistycznymi,
- koszty realizacji inwestycji lokalnych celów publicznych w zakresie infrastruktury technicznej.
Bilans skutków finansowych uchwalenia planu.
W ramach wykładu rozwiązywane będą zadania praktyczne dla potrzeb określenia wybranych dochodów i kosztów gminy wynikających z zapisów planu.
W ramach wykładu zaplanowana jest Wizyta studyjna w Miejskiej Pracowni Planowania Przestrzennego i Strategii Rozwoju w Warszawie w celu zdobycia praktycznej wiedzy z zakresu sporządzania prognozy skutków finansowych uchwalenia planu miejscowego.
</w:t>
      </w:r>
    </w:p>
    <w:p>
      <w:pPr>
        <w:keepNext w:val="1"/>
        <w:spacing w:after="10"/>
      </w:pPr>
      <w:r>
        <w:rPr>
          <w:b/>
          <w:bCs/>
        </w:rPr>
        <w:t xml:space="preserve">Metody oceny: </w:t>
      </w:r>
    </w:p>
    <w:p>
      <w:pPr>
        <w:spacing w:before="20" w:after="190"/>
      </w:pPr>
      <w:r>
        <w:rPr/>
        <w:t xml:space="preserve">Warunkiem zaliczenia przedmiotu jest otrzymanie pozytywnej oceny z pracy zaliczeniowej, którą jest projekt prognozy skutków finansowych uchwalenia wybranego miejscowego planu zagospodarowania przestrzennego. Projekt należy złożyć w formie pisemnej i elektronicznej (pdf) w terminie wskazanym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27 marca 2003 r. o planowaniu i zagospodarowaniu przestrzennym 
3. Rozporządzenie Rady Ministrów z dnia 21 września 2004 r. w sprawie wyceny nieruchomości i sporządzania operatu szacunkowego (Dz.U. z 2004 r. Nr 207, poz. 2109; Dz.U. z 2005 r. Nr 196, poz. 1628; Dz.U. z 2011 r. Nr 165, poz. 985).
4. Rozporządzenie Ministra Infrastruktury z dnia 26 sierpnia 2003 r. w sprawie wymaganego zakresu projektu miejscowego planu zagospodarowania przestrzennego (Dz.U. z 2003 r. Nr 164, poz. 1587).
5.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(Dz.U. z 2004 r. Nr 130, poz. 1389).
i inne regulujące zagadnienia tematyczne omawiane w ramach wykładów.
Publikacje (wydania aktualne):
1. Cymerman R., Bajerowski T., Kryszk H., Prognoza skutków finansowych uchwalenia miejscowego planu zagospodarowania przestrzennego, Educaterra.
2. Dydenko J. (red.), Szacowanie nieruchomości. Rzeczoznawstwo majątkowe. LEX Grupa Wolters Kluwer.
3. Cymerman R. (red.) Opłaty adiacenckie. Educaterra.
4. Horoszko M., Pęchorzewski D. (red.), Gospodarka nieruchomościami. Komentarz. C.H.Beck.
5. Wolanin M., Podziały, scalenia i rozgraniczenia nieruchomości. C.H.Beck.
6. Scalone normatywy do wyceny budynków i budowli.
7. Biuro Architektury i Planowania Przestrzennego miasta st. Warszawy, MAKIETA dla potrzeb sporządzania na terenie m. st. Warszawy „Prognozy skutków finansowych uchwalenia miejscowego planu zagospodarowania przestrzennego”.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w ramach pracy zaliczeniowej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w ramach pracy zaliczeniowej</w:t>
      </w:r>
    </w:p>
    <w:p>
      <w:pPr>
        <w:spacing w:before="20" w:after="190"/>
      </w:pPr>
      <w:r>
        <w:rPr>
          <w:b/>
          <w:bCs/>
        </w:rPr>
        <w:t xml:space="preserve">Powiązane efekty kierunkowe: </w:t>
      </w:r>
      <w:r>
        <w:rPr/>
        <w:t xml:space="preserve">K_W06, K_W12_SR</w:t>
      </w:r>
    </w:p>
    <w:p>
      <w:pPr>
        <w:spacing w:before="20" w:after="190"/>
      </w:pPr>
      <w:r>
        <w:rPr>
          <w:b/>
          <w:bCs/>
        </w:rPr>
        <w:t xml:space="preserve">Powiązane efekty obszarowe: </w:t>
      </w:r>
      <w:r>
        <w:rPr/>
        <w:t xml:space="preserve">S2A_W07, 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K_U01, K_U02, K_U03, K_U05</w:t>
      </w:r>
    </w:p>
    <w:p>
      <w:pPr>
        <w:spacing w:before="20" w:after="190"/>
      </w:pPr>
      <w:r>
        <w:rPr>
          <w:b/>
          <w:bCs/>
        </w:rPr>
        <w:t xml:space="preserve">Powiązane efekty obszarowe: </w:t>
      </w:r>
      <w:r>
        <w:rPr/>
        <w:t xml:space="preserve">T2A_U01, T2A_U02, T2A_U03, S2A_U06, S2A_U07, P2A_U04</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K_U13_SR</w:t>
      </w:r>
    </w:p>
    <w:p>
      <w:pPr>
        <w:spacing w:before="20" w:after="190"/>
      </w:pPr>
      <w:r>
        <w:rPr>
          <w:b/>
          <w:bCs/>
        </w:rPr>
        <w:t xml:space="preserve">Powiązane efekty obszarowe: </w:t>
      </w:r>
      <w:r>
        <w:rPr/>
        <w:t xml:space="preserve">S2A_U03, T2A_U10, 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K_U11_UR, K_U12_SR</w:t>
      </w:r>
    </w:p>
    <w:p>
      <w:pPr>
        <w:spacing w:before="20" w:after="190"/>
      </w:pPr>
      <w:r>
        <w:rPr>
          <w:b/>
          <w:bCs/>
        </w:rPr>
        <w:t xml:space="preserve">Powiązane efekty obszarowe: </w:t>
      </w:r>
      <w:r>
        <w:rPr/>
        <w:t xml:space="preserve">S2A_U03, T2A_U10, T2A_U15, 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2026-04-18T19:46:12+02:00</dcterms:created>
  <dcterms:modified xsi:type="dcterms:W3CDTF">2026-04-18T19:46:12+02:00</dcterms:modified>
</cp:coreProperties>
</file>

<file path=docProps/custom.xml><?xml version="1.0" encoding="utf-8"?>
<Properties xmlns="http://schemas.openxmlformats.org/officeDocument/2006/custom-properties" xmlns:vt="http://schemas.openxmlformats.org/officeDocument/2006/docPropsVTypes"/>
</file>