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OWM5_W01: </w:t>
      </w:r>
    </w:p>
    <w:p>
      <w:pPr/>
      <w:r>
        <w:rPr/>
        <w:t xml:space="preserve">wiedza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OWM5_U01: </w:t>
      </w:r>
    </w:p>
    <w:p>
      <w:pPr/>
      <w:r>
        <w:rPr/>
        <w:t xml:space="preserve">Umie zdobywać wiedzę szczegłową z zakresu automatyki i robotyki oraz mechatroniki przekazywaną w trakcie wykładu obcojęzycznego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</w:t>
      </w:r>
    </w:p>
    <w:p>
      <w:pPr>
        <w:keepNext w:val="1"/>
        <w:spacing w:after="10"/>
      </w:pPr>
      <w:r>
        <w:rPr>
          <w:b/>
          <w:bCs/>
        </w:rPr>
        <w:t xml:space="preserve">Efekt OWM5_U02: </w:t>
      </w:r>
    </w:p>
    <w:p>
      <w:pPr/>
      <w:r>
        <w:rPr/>
        <w:t xml:space="preserve">Potrafi przygotować krótką prezentację obcojęzyczną z obszaru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2026-01-13T19:49:22+01:00</dcterms:created>
  <dcterms:modified xsi:type="dcterms:W3CDTF">2026-01-13T19:49:22+01:00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