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środowiska wirtualnego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90 h; w tym
a. obecność na wykładach – 30 h
b. obecność na ćwiczeniach – 30 h
c. obecność na laboratoriach – 30 h
2. przygotowanie do ćwiczeń, rozwiązanie prac domowych – 20 h
3. przygotowanie do zajęć laboratoryjnych – 45 h
4. zapoznanie się z literaturą – 10 h
5. konsultacje – 5 h
6. przygotowanie do egzaminu i obecność na egzaminie – 20 h
Razem nakład pracy studenta 190 h = 6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30 h
4. konsultacje  – 5 h
Razem: 95 h, co odpowiada 3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obecność na laboratoriach – 30 h
3. przygotowanie do ćwiczeń, rozwiązanie prac domowych – 20 h
4. przygotowanie do zajęć laboratoryjnych – 45 h
Razem: 125 h, co odpowiada 4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geometryczne, Programowanie urządzeń sterowanych numerycznie, Grafika komputerowa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konstruowania i implementacji modeli rzeczywistości wirtualnej, w szczególności symulacji ruchu i interakcji z użytkownikiem oraz analizowanie cech systemów symulacji i związanych z nimi artefaktów.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Czasoprzestrzeń.
Mechanika Newtona.
Ruch ciała sztywnego.
Wirowanie.
Ruch w obecności ograniczeń: zasada d’Alamberta, mechanika Lagrange’a i Hamiltona.
Układy wielu ciał.
Systemy dynamiczne: model matematyczny, linearyzacja układów dynamicznych, stabilność układów dynamicznych, drgania.
Systemy sterowania: model matematyczny, liniowe systemy sterowania, sterowanie układów o skalarnym wejściu i wyjściu.
Programowanie dynamiczne, równanie Eulera, sterowanie optymalne.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punktów (40 punktów za zadania laboratoryjne, 20 punktów za pracę na ćwiczeniach i rozwiązania prac domowych, 10 punktów za sprawdziany wejściowe i 30 punktów za egzamin). Zajęcia laboratoryjne składają się z 4 zadań rozwiązywanych indywidualnie lub w grupach dwuosobowych. Przekroczenie terminu oddania zadania skutkuje odjęciem połowy punktów za to zadanie. Sprawdziany wejściowe odbywają się na początku 10 wyznaczonych wykładów, składają się z jednego pytania z materiału przedstawionego na poprzednim wykładzie i są oceniane na maksymalnie 1 punkt. Egzamin składa się z 8 zadań, warunkiem koniecznym zaliczenia przedmiotu jest uzyskanie z niego przynajmniej 12 punktów. Ocena końcowa zależy od sumy zdobytych punktów i wystawiana jest zgodnie z następującymi zasadami: 0–50 punktów – brak zaliczenia, 51–60 – 3,0, 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Arnold V. I., Metody matematyczne mechaniki klasycznej, PWN, Warszawa 1981.
DeLoura M., Treglia D., Perełki programowania gier, Tom 1, 2 i 3, Helion, 2002.
Garcia de Jalon J., Bayo E., Kinematic and Dynamic Simulation of Multibody Systems, Springer Verlag New York 1994.
Haug E. J., Deyo R. C., Real-Time Integration Methods for Mechanical System Simulation, Springer-Verlag Berlin Heidelberg 1991.
Shabana A. A., Dynamics of Multibody Systems, Cambridge University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Posiada podstawową wiedzę w zakresie fizyki klasycznej i geometrii różniczkowej; posiada wiedzę z zakresu mechaniki i zna podstawy numerycznego modelowania zagadnień tej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Posiada wiedzę o przydatnych  algorytmach numerycznych i kombinatorycznych modelowania przestrzeni konfiguracji takich jak: bryła sztywna lub łańcuch kinematyczny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W2_03  : </w:t>
      </w:r>
    </w:p>
    <w:p>
      <w:pPr/>
      <w:r>
        <w:rPr/>
        <w:t xml:space="preserve">Posiada wiedzę o przydatnych algorytmach numerycznych i kombinatorycznych modelowania pól wektorowych i sterowania w przestrzeniach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W2_04   : </w:t>
      </w:r>
    </w:p>
    <w:p>
      <w:pPr/>
      <w:r>
        <w:rPr/>
        <w:t xml:space="preserve">Posiada wiedzę o parametrach dynamiki interakcji użytkownika z środowiskiem wirtualnym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   : </w:t>
      </w:r>
    </w:p>
    <w:p>
      <w:pPr/>
      <w:r>
        <w:rPr/>
        <w:t xml:space="preserve">Potrafi wykorzystać wiedzę matematyczną do analizy i optymalizacji rozwiązań z zakresu projektowania modeli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na ćwiczeniach i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CC_U06, CC_U07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zaprojektować poprawną dynamicznie interakcję użytkownika z systemem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   : </w:t>
      </w:r>
    </w:p>
    <w:p>
      <w:pPr/>
      <w:r>
        <w:rPr/>
        <w:t xml:space="preserve">Jest przygotowany do prac informatycznych w zespole badawczym  w zakresie mechaniki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na ćwiczeniach, prac domowych i zadań laboratoryjnych;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Potrafi posługiwać się językiem angielskim w stopniu umożliwiającym bezproblemową komunikację w zakresie zagadnień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2026-06-11T23:30:26+02:00</dcterms:created>
  <dcterms:modified xsi:type="dcterms:W3CDTF">2026-06-11T23:30:26+02:00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