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
obrona projektu- 15. 
Razem 60h = 2,5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
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PN-EN-1990-2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KOMETIPW1: </w:t>
      </w:r>
    </w:p>
    <w:p>
      <w:pPr/>
      <w:r>
        <w:rPr/>
        <w:t xml:space="preserve">Zna podstawowe zasady projektowania halowych konstrukcji prętowych.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KOMETIPU2: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KOMETIPK2: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KOMETIPK3: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2026-02-09T02:29:49+01:00</dcterms:created>
  <dcterms:modified xsi:type="dcterms:W3CDTF">2026-02-09T02:29:49+01:00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