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Szymon Zuziak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w wybranej dyscyplinie sportowej, a także rozwój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programowe
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Fitness - prowadzenie zajęć aerobiku (nauka i doskonalenie układów fatburningu i dance).
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wędrownych.
Tematyka zajęć uzależniona jest od wyboru dyscypliny sportowej przez studenta oraz poziomu zaawansowania w zakresie techniczno-taktycznym i sprawnościowym.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semestrze), a także przejawianie przez studenta właściwych kompetencji społecznych oraz uzyskanie minimum umiejętności z wybranej dyscypliny sportowej. Możliwe jest zaliczenie przedmiotu na podstawie udokumentowanych efektów kształcenia osiągniętych na innym kierunku studiów lub poprzez udział w zajęciach sportowo-rekreacyjnych, treningach i zawodach sportowych organizowanych przez Politechnikę Warszawską Filia w Płocku lub inne jednostki organizacyjne (ustalane indywidualnie z kierownikiem ZWFiS).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Arlet T. Koszykówka - podstawy techniki i taktyki. Extrema, Kraków 2001.               
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
5. Góralczyk R., Waśkiewicz Z., Zając A. Technika piłki nożnej - klasyfikacja, nauczanie. CUDH Miler, Katowice 2001.                                                                                6. Uzarowicz J. Siatkówka - co jest grane. BK, Kraków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Ma świadomość konieczności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–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Potrafi współpracować indywidualnie i drużynowo podczas rywalizacji sportowej w grach zespołowych realizowanych w trakcie zajęć wychowania fizycznego,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–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S1P_K07</w:t>
      </w:r>
    </w:p>
    <w:p>
      <w:pPr>
        <w:keepNext w:val="1"/>
        <w:spacing w:after="10"/>
      </w:pPr>
      <w:r>
        <w:rPr>
          <w:b/>
          <w:bCs/>
        </w:rPr>
        <w:t xml:space="preserve">Efekt K_K03: </w:t>
      </w:r>
    </w:p>
    <w:p>
      <w:pPr/>
      <w:r>
        <w:rPr/>
        <w:t xml:space="preserve">Ma świadomość, że prawidłowa realizacja zadań indywidualnych i zespołowych w kulturze fizycznej, zarówno w ramach zajęć wychowania fizycznego, jak również w czasie wolnym w okresie studiów i w przyszłości, wymaga określenia odpowiednich założeń, priorytetów i celów. Sprzyjają one sprecyzowaniu odpowiedniej drogi ich osiągnięcia, a także uzyskaniu dostatecznie wysokiej motywacji.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–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S1P_K03,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2026-10-17T04:39:11+02:00</dcterms:created>
  <dcterms:modified xsi:type="dcterms:W3CDTF">2026-10-17T04:39:11+02:00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