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Safety and efficacy of cosmetic products – regulatory compliance </w:t>
      </w:r>
    </w:p>
    <w:p>
      <w:pPr>
        <w:keepNext w:val="1"/>
        <w:spacing w:after="10"/>
      </w:pPr>
      <w:r>
        <w:rPr>
          <w:b/>
          <w:bCs/>
        </w:rPr>
        <w:t xml:space="preserve">Koordynator przedmiotu: </w:t>
      </w:r>
    </w:p>
    <w:p>
      <w:pPr>
        <w:spacing w:before="20" w:after="190"/>
      </w:pPr>
      <w:r>
        <w:rPr/>
        <w:t xml:space="preserve">Mgr Aleksandra Sołyga-Żurek</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1.	godziny kontaktowe 15h, w tym:
a)	obecność na wykładach – 15h,
2.	przygotowanie do zaliczenia i obecność na zaliczeniu – 20h
Razem nakład pracy studenta: 15h + 20h = 35h, co odpowiada 1 punktowi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15h,
Razem: 15h, co odpowiada 1 punktowi ECTS.
</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The course introduces students to the requirements that must be fulfilled by every cosmetic formulation introduced on the European market, such as safety assessment, efficacy testing and marketing claim substantiation. 
After this course the students should understand in which conditions substances may be used as cosmetic ingredients and what are the legal ways of testing both ingredients and complete formulations. 
</w:t>
      </w:r>
    </w:p>
    <w:p>
      <w:pPr>
        <w:keepNext w:val="1"/>
        <w:spacing w:after="10"/>
      </w:pPr>
      <w:r>
        <w:rPr>
          <w:b/>
          <w:bCs/>
        </w:rPr>
        <w:t xml:space="preserve">Treści kształcenia: </w:t>
      </w:r>
    </w:p>
    <w:p>
      <w:pPr>
        <w:spacing w:before="20" w:after="190"/>
      </w:pPr>
      <w:r>
        <w:rPr/>
        <w:t xml:space="preserve">The course introduces students to the requirements that must be fulfilled by every cosmetic formulation introduced on the European market, such as safety assessment, efficacy testing and marketing claim substantiation. 
After this course the students should understand in which conditions substances may be used as cosmetic ingredients and what are the legal ways of testing both ingredients and complete formulations. 
</w:t>
      </w:r>
    </w:p>
    <w:p>
      <w:pPr>
        <w:keepNext w:val="1"/>
        <w:spacing w:after="10"/>
      </w:pPr>
      <w:r>
        <w:rPr>
          <w:b/>
          <w:bCs/>
        </w:rPr>
        <w:t xml:space="preserve">Metody oceny: </w:t>
      </w:r>
    </w:p>
    <w:p>
      <w:pPr>
        <w:spacing w:before="20" w:after="190"/>
      </w:pPr>
      <w:r>
        <w:rPr/>
        <w:t xml:space="preserve">Written exam - open questions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Regulation (EC) No 1223/2009 of the European Parliament and of the Council of 30 November 2009 on cosmetic products.
2.	The SCCS’s notes of guidance for the testing of cosmetic ingredients and their safety evaluation – 7th revision. 14th December 2010.
</w:t>
      </w:r>
    </w:p>
    <w:p>
      <w:pPr>
        <w:keepNext w:val="1"/>
        <w:spacing w:after="10"/>
      </w:pPr>
      <w:r>
        <w:rPr>
          <w:b/>
          <w:bCs/>
        </w:rPr>
        <w:t xml:space="preserve">Witryna www przedmiotu: </w:t>
      </w:r>
    </w:p>
    <w:p>
      <w:pPr>
        <w:spacing w:before="20" w:after="190"/>
      </w:pPr>
      <w:r>
        <w:rPr/>
        <w:t xml:space="preserve">ch.pw.edu.pl</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2026-06-04T13:24:17+02:00</dcterms:created>
  <dcterms:modified xsi:type="dcterms:W3CDTF">2026-06-04T13:24:17+02:00</dcterms:modified>
</cp:coreProperties>
</file>

<file path=docProps/custom.xml><?xml version="1.0" encoding="utf-8"?>
<Properties xmlns="http://schemas.openxmlformats.org/officeDocument/2006/custom-properties" xmlns:vt="http://schemas.openxmlformats.org/officeDocument/2006/docPropsVTypes"/>
</file>