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Safety and efficacy of cosmetic products – regulatory compliance </w:t>
      </w:r>
    </w:p>
    <w:p>
      <w:pPr>
        <w:keepNext w:val="1"/>
        <w:spacing w:after="10"/>
      </w:pPr>
      <w:r>
        <w:rPr>
          <w:b/>
          <w:bCs/>
        </w:rPr>
        <w:t xml:space="preserve">Koordynator przedmiotu: </w:t>
      </w:r>
    </w:p>
    <w:p>
      <w:pPr>
        <w:spacing w:before="20" w:after="190"/>
      </w:pPr>
      <w:r>
        <w:rPr/>
        <w:t xml:space="preserve">Mgr Aleksandra Sołyga-Żurek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przygotowanie do zaliczenia i obecność na zaliczeniu – 20h
Razem nakład pracy studenta: 15h + 20h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Treści kształcenia: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Metody oceny: </w:t>
      </w:r>
    </w:p>
    <w:p>
      <w:pPr>
        <w:spacing w:before="20" w:after="190"/>
      </w:pPr>
      <w:r>
        <w:rPr/>
        <w:t xml:space="preserve">Written exam - open questions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Regulation (EC) No 1223/2009 of the European Parliament and of the Council of 30 November 2009 on cosmetic products.
2.	The SCCS’s notes of guidance for the testing of cosmetic ingredients and their safety evaluation – 7th revision. 14th December 2010.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2026-10-15T13:15:35+02:00</dcterms:created>
  <dcterms:modified xsi:type="dcterms:W3CDTF">2026-10-15T13:15:35+02:00</dcterms:modified>
</cp:coreProperties>
</file>

<file path=docProps/custom.xml><?xml version="1.0" encoding="utf-8"?>
<Properties xmlns="http://schemas.openxmlformats.org/officeDocument/2006/custom-properties" xmlns:vt="http://schemas.openxmlformats.org/officeDocument/2006/docPropsVTypes"/>
</file>