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w:t>
      </w:r>
    </w:p>
    <w:p>
      <w:pPr>
        <w:keepNext w:val="1"/>
        <w:spacing w:after="10"/>
      </w:pPr>
      <w:r>
        <w:rPr>
          <w:b/>
          <w:bCs/>
        </w:rPr>
        <w:t xml:space="preserve">Koordynator przedmiotu: </w:t>
      </w:r>
    </w:p>
    <w:p>
      <w:pPr>
        <w:spacing w:before="20" w:after="190"/>
      </w:pPr>
      <w:r>
        <w:rPr/>
        <w:t xml:space="preserve">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CH.BMSA301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laboratoryjnych – 15h, 2.	przygotowanie do zajęć laboratoryjnych – 15h 3.	opracowanie wyników badań – 15h 4. przygotowanie do egzaminu – 10h.  Razem nakład pracy studenta: 70h,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exercises - 15h. Together: 15h + 15h = 60h. It gives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a broad introduction to chemical sensors and biosensors including: definitions, classification according to recognition elements and transduction systems, their working principles, working parameters and applications. 
After having completed the course the student should be able to :
• describe and characterise elements of sensors and biosensors and the principles of their operation,
• describe how biospecific interaction is used for various analytical applications,
• describe the most common sensors used today
• compare different techniques with emphasis on sensitivity and selectivity
• describe and critically evaluate a selected application of a biosensor</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Laboratory/Exercises:
Students will have a chance to get familiar with various signal transduction techniques and operation of chosen sensors, biosensors and their elements.</w:t>
      </w:r>
    </w:p>
    <w:p>
      <w:pPr>
        <w:keepNext w:val="1"/>
        <w:spacing w:after="10"/>
      </w:pPr>
      <w:r>
        <w:rPr>
          <w:b/>
          <w:bCs/>
        </w:rPr>
        <w:t xml:space="preserve">Metody oceny: </w:t>
      </w:r>
    </w:p>
    <w:p>
      <w:pPr>
        <w:spacing w:before="20" w:after="190"/>
      </w:pPr>
      <w:r>
        <w:rPr/>
        <w:t xml:space="preserve">Lecture: written test
Laboratory: preparation for classes and reports 
Grading criteria:
Lecture: 60% of your mark.
Lab/Exercises: 40% of your mark.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„Chemical sensors and biosensors”, B.R. Eggins, AnTS, John Wiley &amp; Sons, LTD, 2011
2. „Recognition receptors in biosensors”, Ed. M. Zourob, Springer, 2010
3. Analytical electrochemistry”, J.Wang, VCH Publischer, New York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2026-10-15T18:38:14+02:00</dcterms:created>
  <dcterms:modified xsi:type="dcterms:W3CDTF">2026-10-15T18:38:14+02:00</dcterms:modified>
</cp:coreProperties>
</file>

<file path=docProps/custom.xml><?xml version="1.0" encoding="utf-8"?>
<Properties xmlns="http://schemas.openxmlformats.org/officeDocument/2006/custom-properties" xmlns:vt="http://schemas.openxmlformats.org/officeDocument/2006/docPropsVTypes"/>
</file>