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Anna Dembińska, Dr hab. Bogusława Karpińska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1120-IN000-ISP-0009</w:t>
      </w:r>
    </w:p>
    <w:p>
      <w:pPr>
        <w:keepNext w:val="1"/>
        <w:spacing w:after="10"/>
      </w:pPr>
      <w:r>
        <w:rPr>
          <w:b/>
          <w:bCs/>
        </w:rPr>
        <w:t xml:space="preserve">Semestr nominalny: </w:t>
      </w:r>
    </w:p>
    <w:p>
      <w:pPr>
        <w:spacing w:before="20" w:after="190"/>
      </w:pPr>
      <w:r>
        <w:rPr/>
        <w:t xml:space="preserve">2 / rok ak. 2019/2020</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
</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Określenie pól bezwirowych, bezźródłowych i potencjalnych. Wyznaczanie potencjału.
Miara Jordana w Rn. Definicja i własności całki Riemanna. Obszary normalne. Całki iterowane. Twierdzenie o całkowaniu przez podstawienie. Całki podwójne i potrójne. Interpretacja geometryczna całki podwójnej i potrójnej.
Definicja całki krzywoliniowej niezorientowanej i jej interpretacja geometryczna. Twierdzenie o zamianie całki krzywoliniowej niezorientowanej na całkę oznaczoną. Definicja całki powierzchniowej niezorientowanej i jej interpretacja geometryczna. Twierdzenie o zamianie całki powierzchniowej niezorientowanej na całkę podwójną.
Definicja całki krzywoliniowej zorientowanej i jej interpretacja fizyczna. Twierdzenie o zamianie całki krzywoliniowej zorientowanej na całkę oznaczoną. Definicja całki powierzchniowej zorientowanej i jej interpretacja fizyczna . Twierdzenie o zamianie całki powierzchniowej zorientowanej na całkę podwójną. Twierdzenie Greena. Twierdzenie Stokesa. Twierdzenie Gaussa-Ostrogradzkiego.</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teorię szeregów liczbowych i szeregów funkcyjnych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2024-05-15T16:18:31+02:00</dcterms:created>
  <dcterms:modified xsi:type="dcterms:W3CDTF">2024-05-15T16:18:31+02:00</dcterms:modified>
</cp:coreProperties>
</file>

<file path=docProps/custom.xml><?xml version="1.0" encoding="utf-8"?>
<Properties xmlns="http://schemas.openxmlformats.org/officeDocument/2006/custom-properties" xmlns:vt="http://schemas.openxmlformats.org/officeDocument/2006/docPropsVTypes"/>
</file>