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+ 20h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18h wykład + 10h projekt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+ 20h przygotowanie ćwiczeń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Efekt INZKO1U1: </w:t>
      </w:r>
    </w:p>
    <w:p>
      <w:pPr/>
      <w:r>
        <w:rPr/>
        <w:t xml:space="preserve">Umie zaprojektować wybrane elementy projektu drogo-wego i transportu zbiorowego. Ma kompetencje do wykonania badań terenowych. Potrafi sporządzić i interpretować rysunki drogowe. Potrafi korzystać z podstawo-wych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Efekt INZKO1U1: </w:t>
      </w:r>
    </w:p>
    <w:p>
      <w:pPr/>
      <w:r>
        <w:rPr/>
        <w:t xml:space="preserve">Umie zaprojektować wybrane elementy projektu drogo-wego i transportu zbiorowego. Ma kompetencje do wykonania badań terenowych. Potrafi sporządzić i interpretować rysunki drogowe. Potrafi korzystać z podstawowych norm, rozporządzeń oraz wytycznych projektowania, wykonywania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Efekt INZKO1K1: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komuniakcyj-nej.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2025-12-28T13:39:51+01:00</dcterms:created>
  <dcterms:modified xsi:type="dcterms:W3CDTF">2025-12-28T13:39:51+01:00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