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ćwiczeń laboratoryjnych 15, zapoznanie się ze wskazaną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 </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maksimum 12 osób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 badanie wpływu uszkodzeń w układzie zasilania silnika ZI na skład spalin przed i za reaktorem katalitycznym;
- ocena przyczepności kół jezdnych do nawierzchni drogi metodami pośrednimi;
- ocena parametrów oraz stanu technicznego układu hamulcowego;
- ocena właściwości oraz stanu technicznego zawieszenia samochodu.
</w:t>
      </w:r>
    </w:p>
    <w:p>
      <w:pPr>
        <w:keepNext w:val="1"/>
        <w:spacing w:after="10"/>
      </w:pPr>
      <w:r>
        <w:rPr>
          <w:b/>
          <w:bCs/>
        </w:rPr>
        <w:t xml:space="preserve">Metody oceny: </w:t>
      </w:r>
    </w:p>
    <w:p>
      <w:pPr>
        <w:spacing w:before="20" w:after="190"/>
      </w:pPr>
      <w:r>
        <w:rPr/>
        <w:t xml:space="preserve">Egzamin w formie pisemnej (wymagane jest udzielenie przynajmniej 50% odpowiedzi na 5 pytań). Ćwiczenia laboratoryjne - odbycie i zaliczenie ustne lub pisemne każdego ćwiczenia (udzielenie przynajmniej 50%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Jackowski J., Łęgiewicz J., Wieczorek M.: Samochody osobowe i pochodne. WKŁ. Warszawa 2011;
2) Reimpell J., Betzler J. Podwozia samochodów. Podstawy konstrukcji. WKŁ, Warszawa 2008r.
3) Reński A. Budowa samochodów. Układy hamulcowe i kierownicze oraz zawieszenia. OWPW, Warszawa, 2005r.
4) BOSCH, Informator techniczny. Układy bezpieczeństwa i komfortu jazdy: elektronika i elektrotechnika samochodowa. WKŁ, Warszawa 2013r.
5) BOSCH, Informator techniczny. Napędy hybrydowe, ogniwa paliwowe i paliwa alternatywne. WKŁ, Warszawa 2010r.
6) Merkisz J. Ekologiczne problemy silników spalinowych, tom I. Wydawnictwo Politechniki Poznańskiej, Poznań 1998
7) Merkisz J. Ekologiczne problemy silników spalinowych, tom II. Wydawnictwo Politechniki Poznańskiej, Poznań 1999
8) Zieliński A. Konstrukcja nadwozi samochodów osobowych i pochodnych. WKŁ, Warszawa 2008r.
9) Piechna J. Podstawy aerodynamiki pojazdów. WKŁ, Warszawa 2000r.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Egzamin pisemny, ewent. cz. ustna</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2026-03-24T06:33:57+01:00</dcterms:created>
  <dcterms:modified xsi:type="dcterms:W3CDTF">2026-03-24T06:33:57+01:00</dcterms:modified>
</cp:coreProperties>
</file>

<file path=docProps/custom.xml><?xml version="1.0" encoding="utf-8"?>
<Properties xmlns="http://schemas.openxmlformats.org/officeDocument/2006/custom-properties" xmlns:vt="http://schemas.openxmlformats.org/officeDocument/2006/docPropsVTypes"/>
</file>