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godzin studiowanie literatury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(32 godz., w tym: 30 godzin praca na wykładach, 2 godziny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 </w:t>
      </w:r>
    </w:p>
    <w:p>
      <w:pPr>
        <w:keepNext w:val="1"/>
        <w:spacing w:after="10"/>
      </w:pPr>
      <w:r>
        <w:rPr>
          <w:b/>
          <w:bCs/>
        </w:rPr>
        <w:t xml:space="preserve">Treści kształcenia: </w:t>
      </w:r>
    </w:p>
    <w:p>
      <w:pPr>
        <w:spacing w:before="20" w:after="190"/>
      </w:pPr>
      <w:r>
        <w:rPr/>
        <w:t xml:space="preserve">Treści wykładu: transport torowy (PRT, GRT, APM) oraz samochodowy na różnym poziomie autonomizacji. Infrastruktura pojazdów torowych pozwalająca na monitorowanie parametrów ruchu, zachowanie odpowiednich separacji, możliwość identyfikacji położenia pojazdów oraz wymiany informacji w triadzie: centralny układ sterujący – pojazd – człowiek.
Pojazdy samochodowe na poziomie L4 dedykowanym wykorzystujące w nawigacji komunikację: pojazd - infrastruktura. Standardy wykorzystujące komunikację V2I (Vehicle to Infrastracture),  w tym np. koncepcje DNA – Road opracowaną przez firmę Tom-Tom. Standardy komunikacji: V2V, V2E. (Szczegółowo standardy tych technologii - stosowane protokoły itd.- omówione zostaną na wykładzie Auto - Internetworking).
Struktura zasilania energetycznego pojazdów  -  z napędem elektrycznym oraz  napędami niskoemisyjnymi,  jak wodór czy LNG
</w:t>
      </w:r>
    </w:p>
    <w:p>
      <w:pPr>
        <w:keepNext w:val="1"/>
        <w:spacing w:after="10"/>
      </w:pPr>
      <w:r>
        <w:rPr>
          <w:b/>
          <w:bCs/>
        </w:rPr>
        <w:t xml:space="preserve">Metody oceny: </w:t>
      </w:r>
    </w:p>
    <w:p>
      <w:pPr>
        <w:spacing w:before="20" w:after="190"/>
      </w:pPr>
      <w:r>
        <w:rPr/>
        <w:t xml:space="preserve">Dwa sprawdziany pisemne, zawierające 5 pytań otwartych każdy, dotyczących wybranych treści objętych wykładem.
Ocena pozytywna – zaliczenie każdego sprawdzianu na ocenę co najmniej dostateczną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2026-06-11T01:31:25+02:00</dcterms:created>
  <dcterms:modified xsi:type="dcterms:W3CDTF">2026-06-11T01:31:25+02:00</dcterms:modified>
</cp:coreProperties>
</file>

<file path=docProps/custom.xml><?xml version="1.0" encoding="utf-8"?>
<Properties xmlns="http://schemas.openxmlformats.org/officeDocument/2006/custom-properties" xmlns:vt="http://schemas.openxmlformats.org/officeDocument/2006/docPropsVTypes"/>
</file>