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Jerzy Szawłowski,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PMOM1, PNOM2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OCCH_W1: </w:t>
      </w:r>
    </w:p>
    <w:p>
      <w:pPr/>
      <w:r>
        <w:rPr/>
        <w:t xml:space="preserve">Ma wiedzę w zakresie rodzaju narażeń eksplatacyjnych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OCCH_W2: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IM1_W06, IM1_W10,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OCCH_W3: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OCCH_U1: </w:t>
      </w:r>
    </w:p>
    <w:p>
      <w:pPr/>
      <w:r>
        <w:rPr/>
        <w:t xml:space="preserve">Ma podstawy zasad doboru odpwiednich dla zastosowania technologii obróbki cieplno chemicznej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OCCH_U2: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OCCH_U3: </w:t>
      </w:r>
    </w:p>
    <w:p>
      <w:pPr/>
      <w:r>
        <w:rPr/>
        <w:t xml:space="preserve">Umie ocenić ekonomiczne aspekty wyboru określonych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IM1_U10, IM1_U12, 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III.P6S_UW.1.o,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OCCH_K1: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OCCH_K2: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IM1_K04,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OCCH_K3: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2026-04-18T11:00:14+02:00</dcterms:created>
  <dcterms:modified xsi:type="dcterms:W3CDTF">2026-04-18T11:00:14+02:00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