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inteligentne/ Intelligent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Kaszuwara, prof. PW;  dr hab. inż. Anna Boczkowska,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MATINT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pracy na zajęciach + 15 godzin pracy własnej (studia literaturowe)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Schwartz, Encyclopedia of Smart Materials, wyd. Wiley and Sons Inc., Nowy Jork 2002.
3. A. Boczkowska, Rola mikrostruktury w kształtowaniu właściwości inteligentnych kompozytów magnetoreologicznych, Oficyna Wydawnicza PW,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MATINT_W1: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MATINT_K1: </w:t>
      </w:r>
    </w:p>
    <w:p>
      <w:pPr/>
      <w:r>
        <w:rPr/>
        <w:t xml:space="preserve">Potrafi współdziałać w grupie, nawiązuje kontakty, wymienia poglądy nt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2026-10-14T21:21:56+02:00</dcterms:created>
  <dcterms:modified xsi:type="dcterms:W3CDTF">2026-10-14T21:21:56+02:00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