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Dynamika procesowa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Marek Henczka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IC.MK111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30
2. Godziny kontaktowe z nauczycielem akademickim w ramach konsultacji 2
3. Godziny kontaktowe z nauczycielem akademickim w ramach zaliczeń i egzaminów 3
4. Przygotowanie do zajęć (studiowanie literatury, odrabianie prac domowych itp.) -
5. Zbieranie informacji, opracowanie wyników -
6. Przygotowanie sprawozdania, prezentacji, raportu, dyskusji -
7. Nauka samodzielna – przygotowanie do zaliczenia/kolokwium/egzaminu 20
Sumaryczne obciążenie studenta pracą 55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Przekazanie studentom wiedzy dotyczącej dynamiki obiektów inżynierii chemicznej oraz zmienności w czasie parametrów takich obiektów w stanach nieustalonych.
2. Przedstawienie metod opisu matematycznego dynamiki obiektów elementarnych, regulatorów i układów regulacji automatycznej, a także zasad sterowania i regulacji obiektów inżynierii chemicznej.
3. Omówienie zagadnień stabilności układów regulacji i doboru nastaw regulatorów w układach regulacji automatycznej procesów inżynierii chemicznej.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1. Pojęcia podstawowe (obiekt, sygnały wejściowe i wyjściowe, wymuszenie odpowiedź obiektu, modele matematyczne: statyczne i dynamiczne, liniowość i rzędowość obiektów dynamicznych), tworzenie modeli matematycznych obiektów dynamicznych, metoda opisu zachowań dynamicznych w przestrzeni czasu, linearyzacja obiektów nieliniowych; rodzaje funkcji wymuszających (skokowe, impulsowe, liniowe, sinusoidalne).
2. Dynamika i metody analitycznej identyfikacji dynamiki obiektów liniowych I rzędu, współczynnik wzmocnienia i stała czasowa obiektu inercyjnego, przykłady obiektów inercyjnych i ich odpowiedzi na różne rodzaje wymuszeń.
3. Dynamika i metody analitycznej identyfikacji dynamiki obiektów liniowych II rzędu, klasyfikacja obiektów II rzędu (przetłumiony, tłumiony krytycznie, niedotłumiony, nietłumiony i niestabilny), obiekty inercyjne II rzędu i oscylacyjne oraz ich odpowiedzi na różne rodzaje wymuszeń.
4. Równanie charakterystyczne obiektu i pierwiastki równania charakterystycznego, stabilność obiektów liniowych różnych rzędów, kryteria stabilności obiektów dynamicznych, całka splotu.
5. Przekształcenie Laplace’a i jego własności, metoda opisu matematycznego dynamiki obiektów fizycznych w przestrzeni Laplace’a, transmitancja operatorowa, zastosowanie transmitancji operatorowej do opisu dynamiki obiektów.
6. Rodzaje elementarnych członów dynamicznych (proporcjonalny, całkujący, inercyjny, różniczkujący, oscylacyjny i opóźniający) i ich interpretacja fizyczna na przykładzie obiektów inżynierii chemicznej, odpowiedzi członów elementarnych na typowe rodzaje wymuszeń; transmitancje obiektów złożonych (połączenia szeregowe, równoległe i w pętli sprzężenia zwrotnego, wyznaczanie analityczne odpowiedzi obiektów złożonych, doświadczalna identyfikacja dynamiki obiektów rzeczywistych.
7. Regulacja automatyczna (struktura układów regulacji, rodzaje regulatorów, prawo regulacji); własności dynamiczne regulatorów z ciągłym sygnałem wyjściowym (typu P, I, D, PI, PD, PID) i nieciągłym sygnałem wyjściowym, prawo regulacji w przestrzeni fizycznej i Laplace’a.
8. Dynamika układów regulacji automatycznej realizowanych przy użyciu regulatorów różnych typów, kryteria jakości regulacji; stabilność i kryteria stabilności układów regulacji automatycznej, wpływ nastaw regulatorów na przebiegi regulacji. Zastosowanie transformaty Laplace’a do opisu dynamiki układów regulacji automatycznej.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J. Kostro, Elementy, urządzenia i układy automatyki, WSiP.
2. B. Chorowski, M. Werszko, Mechaniczne urządzenia automatyki, WNT.
3. A. Burghardt, G. Bartelmus, Inżynieria reaktorów chemicznych, Wydawnictwo Naukowe PWN.
4. J. Brzózka, Regulatory i układy automatyki, MIKOM.
5. A. Dębowski, Automatyka – podstawy teorii, WNT, Warszawa, 2008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Ma wiedzę teoretyczną dotyczącą własności dynamicznych obiektów fizycznych, w tym układów regulacji automatycznej.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    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T2A_W11</w:t>
      </w:r>
    </w:p>
    <w:p>
      <w:pPr>
        <w:keepNext w:val="1"/>
        <w:spacing w:after="10"/>
      </w:pPr>
      <w:r>
        <w:rPr>
          <w:b/>
          <w:bCs/>
        </w:rPr>
        <w:t xml:space="preserve">Efekt W2: </w:t>
      </w:r>
    </w:p>
    <w:p>
      <w:pPr/>
      <w:r>
        <w:rPr/>
        <w:t xml:space="preserve">Ma wiedzę dotyczącą metod matematycznego opisu dynamiki obiektów fizycznych w przestrzeni
czasu i przestrzeni Laplace’a.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Potrafi modelować zachowania dynamiczne obiektów fizycznych inżynierii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T2A_U13</w:t>
      </w:r>
    </w:p>
    <w:p>
      <w:pPr>
        <w:keepNext w:val="1"/>
        <w:spacing w:after="10"/>
      </w:pPr>
      <w:r>
        <w:rPr>
          <w:b/>
          <w:bCs/>
        </w:rPr>
        <w:t xml:space="preserve">Efekt U2: </w:t>
      </w:r>
    </w:p>
    <w:p>
      <w:pPr/>
      <w:r>
        <w:rPr/>
        <w:t xml:space="preserve">Potrafi dobrać struktury i nastawy regulatorów w układach regulacji automatycznej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KS1: </w:t>
      </w:r>
    </w:p>
    <w:p>
      <w:pPr/>
      <w:r>
        <w:rPr/>
        <w:t xml:space="preserve">Potrafi mysleć i działać samodzielnie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2025-04-06T12:29:20+02:00</dcterms:created>
  <dcterms:modified xsi:type="dcterms:W3CDTF">2025-04-06T12:29:20+02:00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