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zarządzania ryzykiem</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+ 15h ćwiczenia + 5h kons. grupowe + 5h kons. indywidualne + 10h zapoznanie się ze wskazana literaturą + 10h przygotowanie do zajęć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10h wykład + 15h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
15h ćwiczenia + 5h kons. grupowe + 5h kons. indywidualne + 10h zapoznanie się ze wskazana literaturą + 10h przygotowanie do zajęć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i ocena ryzyka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znał i rozumiał różnicę między niepewnością i ryzykiem. Znał róże klasyfikacje ryzyk i potrafił je dobierać do rozpatrywanego przypadku. Znał różne narzędzia pomiaru ryzyka i potrafił je dobierać do rozpatrywanego przypadku. Znał dedykowane infrastrukturze krytycznej i usługom kluczowym, metody zarządzania ryzykiem. Znał obowiązujące standardy zarządzania ryzykiem dedykowane projektom i procesom. </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Założenia teoretyczne foresight, Metody i techniki foresight,
3.	Standardy zarządzania ryzykiem (PMI, ISO31000) 
4.	Pomiar ryzyka (z uwzględnieniem rozszerzonych wzorów na ryzyko), 
5.	Metody i narzędzia pomiaru ryzyka, Postępowanie z ryzykiem, 
6.	Test zaliczeniowy
B. Ćwiczenia: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Wykład: 
1. Ocena formatywna: Test zaliczeniowy (pytania zamknięte i otwarte)
2. Ocena sumatywna : Na skali: 2,0; 3,0; 3,5; 4,0; 4,5; 5,0; (max. 30 pkt)
B. Ćwiczenia: 
1. Ocena formatywna: Praca w zespołach 2-3 osobowych, Raport (max. 55 pkt.), Prezentacja (max. 15 pkt.)
2. Ocena sumatywna: Na skali: 2,0; 3,0; 3,5; 4,0; 4,5; 5,0; (max. 70 pkt.)
E. Końcowa ocena z przedmiotu: 30% Wykład, 70% Ćwiczenia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w:t>
      </w:r>
    </w:p>
    <w:p>
      <w:pPr/>
      <w:r>
        <w:rPr/>
        <w:t xml:space="preserve">Student zna  zasady identyfikacji zagrożeń oraz analizy i zarządzania ryzykiem w zakresie obowiązujących teorii, podejść i metod ze szczególnym uwzględnieniem obowią-zujących standardów zarządzania ryzykiem (projektowych i procesowych)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2026-08-06T23:53:03+02:00</dcterms:created>
  <dcterms:modified xsi:type="dcterms:W3CDTF">2026-08-06T23:53:03+02:00</dcterms:modified>
</cp:coreProperties>
</file>

<file path=docProps/custom.xml><?xml version="1.0" encoding="utf-8"?>
<Properties xmlns="http://schemas.openxmlformats.org/officeDocument/2006/custom-properties" xmlns:vt="http://schemas.openxmlformats.org/officeDocument/2006/docPropsVTypes"/>
</file>