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comments.xml" ContentType="application/vnd.openxmlformats-officedocument.wordprocessingml.comments+xml"/>
</Types>
</file>

<file path=_rels/.rels><?xml version="1.0" encoding="UTF-8" standalone="yes"?>
<Relationships xmlns="http://schemas.openxmlformats.org/package/2006/relationships"><Relationship Id="rId1" Type="http://schemas.openxmlformats.org/package/2006/relationships/metadata/core-properties" Target="docProps/core.xml"/><Relationship Id="rId2" Type="http://schemas.openxmlformats.org/officeDocument/2006/relationships/extended-properties" Target="docProps/app.xml"/><Relationship Id="rId3" Type="http://schemas.openxmlformats.org/officeDocument/2006/relationships/custom-properties" Target="docProps/custom.xml"/><Relationship Id="rId4" Type="http://schemas.openxmlformats.org/officeDocument/2006/relationships/officeDocument" Target="word/document.xml"/></Relationships>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p>
      <w:pPr>
        <w:keepNext w:val="1"/>
        <w:spacing w:after="10"/>
      </w:pPr>
      <w:r>
        <w:rPr>
          <w:b/>
          <w:bCs/>
        </w:rPr>
        <w:t xml:space="preserve">Nazwa przedmiotu: </w:t>
      </w:r>
    </w:p>
    <w:p>
      <w:pPr>
        <w:spacing w:before="20" w:after="190"/>
      </w:pPr>
      <w:r>
        <w:rPr/>
        <w:t xml:space="preserve">Biopaliwa</w:t>
      </w:r>
    </w:p>
    <w:p>
      <w:pPr>
        <w:keepNext w:val="1"/>
        <w:spacing w:after="10"/>
      </w:pPr>
      <w:r>
        <w:rPr>
          <w:b/>
          <w:bCs/>
        </w:rPr>
        <w:t xml:space="preserve">Koordynator przedmiotu: </w:t>
      </w:r>
    </w:p>
    <w:p>
      <w:pPr>
        <w:spacing w:before="20" w:after="190"/>
      </w:pPr>
      <w:r>
        <w:rPr/>
        <w:t xml:space="preserve">prof. dr hab. inż. Kazimierz Baczewski</w:t>
      </w:r>
    </w:p>
    <w:p>
      <w:pPr>
        <w:keepNext w:val="1"/>
        <w:spacing w:after="10"/>
      </w:pPr>
      <w:r>
        <w:rPr>
          <w:b/>
          <w:bCs/>
        </w:rPr>
        <w:t xml:space="preserve">Status przedmiotu: </w:t>
      </w:r>
    </w:p>
    <w:p>
      <w:pPr>
        <w:spacing w:before="20" w:after="190"/>
      </w:pPr>
      <w:r>
        <w:rPr/>
        <w:t xml:space="preserve">Obowiązkowy</w:t>
      </w:r>
    </w:p>
    <w:p>
      <w:pPr>
        <w:keepNext w:val="1"/>
        <w:spacing w:after="10"/>
      </w:pPr>
      <w:r>
        <w:rPr>
          <w:b/>
          <w:bCs/>
        </w:rPr>
        <w:t xml:space="preserve">Poziom kształcenia: </w:t>
      </w:r>
    </w:p>
    <w:p>
      <w:pPr>
        <w:spacing w:before="20" w:after="190"/>
      </w:pPr>
      <w:r>
        <w:rPr/>
        <w:t xml:space="preserve">Studia I stopnia</w:t>
      </w:r>
    </w:p>
    <w:p>
      <w:pPr>
        <w:keepNext w:val="1"/>
        <w:spacing w:after="10"/>
      </w:pPr>
      <w:r>
        <w:rPr>
          <w:b/>
          <w:bCs/>
        </w:rPr>
        <w:t xml:space="preserve">Program: </w:t>
      </w:r>
    </w:p>
    <w:p>
      <w:pPr>
        <w:spacing w:before="20" w:after="190"/>
      </w:pPr>
      <w:r>
        <w:rPr/>
        <w:t xml:space="preserve">Biogospodarka</w:t>
      </w:r>
    </w:p>
    <w:p>
      <w:pPr>
        <w:keepNext w:val="1"/>
        <w:spacing w:after="10"/>
      </w:pPr>
      <w:r>
        <w:rPr>
          <w:b/>
          <w:bCs/>
        </w:rPr>
        <w:t xml:space="preserve">Grupa przedmiotów: </w:t>
      </w:r>
    </w:p>
    <w:p>
      <w:pPr>
        <w:spacing w:before="20" w:after="190"/>
      </w:pPr>
      <w:r>
        <w:rPr/>
        <w:t xml:space="preserve">obowiązkowe</w:t>
      </w:r>
    </w:p>
    <w:p>
      <w:pPr>
        <w:keepNext w:val="1"/>
        <w:spacing w:after="10"/>
      </w:pPr>
      <w:r>
        <w:rPr>
          <w:b/>
          <w:bCs/>
        </w:rPr>
        <w:t xml:space="preserve">Kod przedmiotu: </w:t>
      </w:r>
    </w:p>
    <w:p>
      <w:pPr>
        <w:spacing w:before="20" w:after="190"/>
      </w:pPr>
      <w:r>
        <w:rPr/>
        <w:t xml:space="preserve">1110-BG000-ISP-6301</w:t>
      </w:r>
    </w:p>
    <w:p>
      <w:pPr>
        <w:keepNext w:val="1"/>
        <w:spacing w:after="10"/>
      </w:pPr>
      <w:r>
        <w:rPr>
          <w:b/>
          <w:bCs/>
        </w:rPr>
        <w:t xml:space="preserve">Semestr nominalny: </w:t>
      </w:r>
    </w:p>
    <w:p>
      <w:pPr>
        <w:spacing w:before="20" w:after="190"/>
      </w:pPr>
      <w:r>
        <w:rPr/>
        <w:t xml:space="preserve">6 / rok ak. 2019/2020</w:t>
      </w:r>
    </w:p>
    <w:p>
      <w:pPr>
        <w:keepNext w:val="1"/>
        <w:spacing w:after="10"/>
      </w:pPr>
      <w:r>
        <w:rPr>
          <w:b/>
          <w:bCs/>
        </w:rPr>
        <w:t xml:space="preserve">Liczba punktów ECTS: </w:t>
      </w:r>
    </w:p>
    <w:p>
      <w:pPr>
        <w:spacing w:before="20" w:after="190"/>
      </w:pPr>
      <w:r>
        <w:rPr/>
        <w:t xml:space="preserve">4</w:t>
      </w:r>
    </w:p>
    <w:p>
      <w:pPr>
        <w:keepNext w:val="1"/>
        <w:spacing w:after="10"/>
      </w:pPr>
      <w:r>
        <w:rPr>
          <w:b/>
          <w:bCs/>
        </w:rPr>
        <w:t xml:space="preserve">Liczba godzin pracy studenta związanych z osiągnięciem efektów uczenia się: </w:t>
      </w:r>
    </w:p>
    <w:p>
      <w:pPr>
        <w:spacing w:before="20" w:after="190"/>
      </w:pPr>
      <w:r>
        <w:rPr/>
        <w:t xml:space="preserve">W 60/x ; C 15/+ ; L 15/+ ; Razem: 60
aktywność / obciążenie studenta w godz. 
(przykład – należy podać aktywności właściwe dla przedmiotu)
1. Udział w wykładach / 30
2. Samodzielne studiowanie tematyki wykładów / 24
3. Udział w laboratoriach / 15
4. Samodzielne przygotowanie się do laboratoriów / 15
5. Udział w ćwiczeniach audytoryjnych / 15
6. Samodzielne przygotowanie się do ćwiczeń audytoryjnych / 15
7. Udział w konsultacjach / 9
8. Przygotowanie do egzaminu / 28
9. Udział w egzaminie / 2
Sumaryczne obciążenie pracą studenta: 153 / 6 ECTS
Zajęcia z udziałem nauczycieli: 71 / 2 ECTS
Zajęcia o charakterze praktycznym: 60 / 2 ECTS
</w:t>
      </w:r>
    </w:p>
    <w:p>
      <w:pPr>
        <w:keepNext w:val="1"/>
        <w:spacing w:after="10"/>
      </w:pPr>
      <w:r>
        <w:rPr>
          <w:b/>
          <w:bCs/>
        </w:rPr>
        <w:t xml:space="preserve">Liczba punktów ECTS na zajęciach wymagających bezpośredniego udziału nauczycieli akademickich: </w:t>
      </w:r>
    </w:p>
    <w:p>
      <w:pPr>
        <w:spacing w:before="20" w:after="190"/>
      </w:pPr>
      <w:r>
        <w:rPr/>
        <w:t xml:space="preserve">2</w:t>
      </w:r>
    </w:p>
    <w:p>
      <w:pPr>
        <w:keepNext w:val="1"/>
        <w:spacing w:after="10"/>
      </w:pPr>
      <w:r>
        <w:rPr>
          <w:b/>
          <w:bCs/>
        </w:rPr>
        <w:t xml:space="preserve">Język prowadzenia zajęć: </w:t>
      </w:r>
    </w:p>
    <w:p>
      <w:pPr>
        <w:spacing w:before="20" w:after="190"/>
      </w:pPr>
      <w:r>
        <w:rPr/>
        <w:t xml:space="preserve">polski</w:t>
      </w:r>
    </w:p>
    <w:p>
      <w:pPr>
        <w:keepNext w:val="1"/>
        <w:spacing w:after="10"/>
      </w:pPr>
      <w:r>
        <w:rPr>
          <w:b/>
          <w:bCs/>
        </w:rPr>
        <w:t xml:space="preserve">Liczba punktów ECTS, którą student uzyskuje w ramach zajęć o charakterze praktycznym: </w:t>
      </w:r>
    </w:p>
    <w:p>
      <w:pPr>
        <w:spacing w:before="20" w:after="190"/>
      </w:pPr>
      <w:r>
        <w:rPr/>
        <w:t xml:space="preserve">2</w:t>
      </w:r>
    </w:p>
    <w:p>
      <w:pPr>
        <w:keepNext w:val="1"/>
        <w:spacing w:after="10"/>
      </w:pPr>
      <w:r>
        <w:rPr>
          <w:b/>
          <w:bCs/>
        </w:rPr>
        <w:t xml:space="preserve">Formy zajęć i ich wymiar w semestrze: </w:t>
      </w:r>
    </w:p>
    <w:tbl>
      <w:tblGrid>
        <w:gridCol w:w="2200" w:type="dxa"/>
        <w:gridCol w:w="2200" w:type="dxa"/>
      </w:tblGrid>
      <w:tblPr>
        <w:tblW w:w="2500" w:type="auto"/>
        <w:tblBorders>
          <w:top w:val="single" w:sz="0" w:color="FFFFFF"/>
          <w:left w:val="single" w:sz="0" w:color="FFFFFF"/>
          <w:right w:val="single" w:sz="0" w:color="FFFFFF"/>
          <w:bottom w:val="single" w:sz="0" w:color="FFFFFF"/>
          <w:insideH w:val="single" w:sz="0" w:color="FFFFFF"/>
          <w:insideV w:val="single" w:sz="0" w:color="FFFFFF"/>
        </w:tblBorders>
      </w:tblPr>
      <w:tr>
        <w:trPr>
          <w:trHeight w:val="250" w:hRule="atLeast"/>
        </w:trPr>
        <w:tc>
          <w:tcPr>
            <w:tcW w:w="2200" w:type="dxa"/>
          </w:tcPr>
          <w:p>
            <w:pPr/>
            <w:r>
              <w:rPr/>
              <w:t xml:space="preserve">Wykład: </w:t>
            </w:r>
          </w:p>
        </w:tc>
        <w:tc>
          <w:tcPr>
            <w:tcW w:w="2200" w:type="dxa"/>
          </w:tcPr>
          <w:p>
            <w:pPr/>
            <w:r>
              <w:rPr/>
              <w:t xml:space="preserve">30h</w:t>
            </w:r>
          </w:p>
        </w:tc>
      </w:tr>
      <w:tr>
        <w:trPr>
          <w:trHeight w:val="250" w:hRule="atLeast"/>
        </w:trPr>
        <w:tc>
          <w:tcPr>
            <w:tcW w:w="2200" w:type="dxa"/>
          </w:tcPr>
          <w:p>
            <w:pPr/>
            <w:r>
              <w:rPr/>
              <w:t xml:space="preserve">Ćwiczenia: </w:t>
            </w:r>
          </w:p>
        </w:tc>
        <w:tc>
          <w:tcPr>
            <w:tcW w:w="2200" w:type="dxa"/>
          </w:tcPr>
          <w:p>
            <w:pPr/>
            <w:r>
              <w:rPr/>
              <w:t xml:space="preserve">15h</w:t>
            </w:r>
          </w:p>
        </w:tc>
      </w:tr>
      <w:tr>
        <w:trPr>
          <w:trHeight w:val="250" w:hRule="atLeast"/>
        </w:trPr>
        <w:tc>
          <w:tcPr>
            <w:tcW w:w="2200" w:type="dxa"/>
          </w:tcPr>
          <w:p>
            <w:pPr/>
            <w:r>
              <w:rPr/>
              <w:t xml:space="preserve">Laboratorium: </w:t>
            </w:r>
          </w:p>
        </w:tc>
        <w:tc>
          <w:tcPr>
            <w:tcW w:w="2200" w:type="dxa"/>
          </w:tcPr>
          <w:p>
            <w:pPr/>
            <w:r>
              <w:rPr/>
              <w:t xml:space="preserve">15h</w:t>
            </w:r>
          </w:p>
        </w:tc>
      </w:tr>
      <w:tr>
        <w:trPr>
          <w:trHeight w:val="250" w:hRule="atLeast"/>
        </w:trPr>
        <w:tc>
          <w:tcPr>
            <w:tcW w:w="2200" w:type="dxa"/>
          </w:tcPr>
          <w:p>
            <w:pPr/>
            <w:r>
              <w:rPr/>
              <w:t xml:space="preserve">Projekt: </w:t>
            </w:r>
          </w:p>
        </w:tc>
        <w:tc>
          <w:tcPr>
            <w:tcW w:w="2200" w:type="dxa"/>
          </w:tcPr>
          <w:p>
            <w:pPr/>
            <w:r>
              <w:rPr/>
              <w:t xml:space="preserve">0h</w:t>
            </w:r>
          </w:p>
        </w:tc>
      </w:tr>
      <w:tr>
        <w:trPr>
          <w:trHeight w:val="250" w:hRule="atLeast"/>
        </w:trPr>
        <w:tc>
          <w:tcPr>
            <w:tcW w:w="2200" w:type="dxa"/>
          </w:tcPr>
          <w:p>
            <w:pPr/>
            <w:r>
              <w:rPr/>
              <w:t xml:space="preserve">Lekcje komputerowe: </w:t>
            </w:r>
          </w:p>
        </w:tc>
        <w:tc>
          <w:tcPr>
            <w:tcW w:w="2200" w:type="dxa"/>
          </w:tcPr>
          <w:p>
            <w:pPr/>
            <w:r>
              <w:rPr/>
              <w:t xml:space="preserve">0h</w:t>
            </w:r>
          </w:p>
        </w:tc>
      </w:tr>
    </w:tbl>
    <w:p/>
    <w:p>
      <w:pPr>
        <w:keepNext w:val="1"/>
        <w:spacing w:after="10"/>
      </w:pPr>
      <w:r>
        <w:rPr>
          <w:b/>
          <w:bCs/>
        </w:rPr>
        <w:t xml:space="preserve">Wymagania wstępne: </w:t>
      </w:r>
    </w:p>
    <w:p>
      <w:pPr>
        <w:spacing w:before="20" w:after="190"/>
      </w:pPr>
      <w:r>
        <w:rPr/>
        <w:t xml:space="preserve">Podstawy biochemii i biokatalizy / wymagania wstępne: znajomość podstaw biochemii i biokatalizy
Biorafinerie / rodzaje i podstawy funkcjonowania, podstawowe procesy technologiczne biorafinerii
</w:t>
      </w:r>
    </w:p>
    <w:p>
      <w:pPr>
        <w:keepNext w:val="1"/>
        <w:spacing w:after="10"/>
      </w:pPr>
      <w:r>
        <w:rPr>
          <w:b/>
          <w:bCs/>
        </w:rPr>
        <w:t xml:space="preserve">Limit liczby studentów: </w:t>
      </w:r>
    </w:p>
    <w:p>
      <w:pPr>
        <w:spacing w:before="20" w:after="190"/>
      </w:pPr>
      <w:r>
        <w:rPr/>
        <w:t xml:space="preserve">90</w:t>
      </w:r>
    </w:p>
    <w:p>
      <w:pPr>
        <w:keepNext w:val="1"/>
        <w:spacing w:after="10"/>
      </w:pPr>
      <w:r>
        <w:rPr>
          <w:b/>
          <w:bCs/>
        </w:rPr>
        <w:t xml:space="preserve">Cel przedmiotu: </w:t>
      </w:r>
    </w:p>
    <w:p>
      <w:pPr>
        <w:spacing w:before="20" w:after="190"/>
      </w:pPr>
      <w:r>
        <w:rPr/>
        <w:t xml:space="preserve">
Definicja, rodzaje i klasyfikacja biopaliw. Technologie otrzymywania biopaliw. Główne właściwości i zastosowanie biogazu, bioalkoholi, bioeterów, bioestrów i biowodoru. Produkcja biopaliw, ich magazynowanie i procesy starzenia. Przepisy prawne odnośnie do biopaliw. Analiza techniczno-ekonomiczna produkcji różnych biopaliw. Oddziaływanie na środowisko w cyklu życia biopaliw. Badanie wybranych charakterystyk funkcjonalnych biopaliw ciekłych.
</w:t>
      </w:r>
    </w:p>
    <w:p>
      <w:pPr>
        <w:keepNext w:val="1"/>
        <w:spacing w:after="10"/>
      </w:pPr>
      <w:r>
        <w:rPr>
          <w:b/>
          <w:bCs/>
        </w:rPr>
        <w:t xml:space="preserve">Treści kształcenia: </w:t>
      </w:r>
    </w:p>
    <w:p>
      <w:pPr>
        <w:spacing w:before="20" w:after="190"/>
      </w:pPr>
      <w:r>
        <w:rPr/>
        <w:t xml:space="preserve">Wykłady: 
1. Charakterystyki biomasy jako podstawowego źródła biopaliw / 2
2. Definicje, klasyfikacje i rodzaje biopaliw / 2
3. Przemysłowe technologie otrzymywania biopaliw ciekłych / 2
4. Przemysłowe technologie otrzymywania biopaliw gazowych / 2
5. Metody pozyskiwania, główne właściwości i zastosowanie biogazu / 2
6. Alkohole alifatyczne jako biopaliwa do silników spalinowych / 2
7. Bioetery jako paliwa do silników spalinowych / 2
8. Oleje roślinne jako paliwa silnikowe i opałowe / 2
9. Estry jako biopaliwa silnikowe i opałowe / 2
10. Wytwarzanie i magazynowanie biowodoru / 2
11. Biopaliwa do zasilania ogniw paliwowych / 2
12. Produkcja biopaliw na świecie, w Unii Europejskiej i w Polsce / 2
13. Problemy logistyki biopaliw, w tym procesy ich starzenia się podczas magazynowania / 2
14. Problemy stosowania biopaliw w lotnictwie / 2
15. Perspektywy rozwoju i stosowania biopaliw / 2
Metody dydaktyczne – wykłady w systemie audiowizualnym.
Ćwiczenia:
1.Analiza przepisów prawnych odnośnie do wytwarzania i stosowania biopaliw w Unii Europejskiej / 2
2. Analiza przepisów prawnych odnośnie do wytwarzania i stosowania biopaliw w Polsce / 2
3. Analiza wymagań normatywnych dla biopaliw ciekłych i gazowych / 2
4. Produkcja biopaliw w Polsce, w Unii Europejskiej i na świecie / 2
5. Analiza techniczno-ekonomiczna produkcji bioetanolu / 2
6. Analiza techniczno-ekonomiczna produkcji estrów metylowych oleju rzepakowego (RME) / 2
7. Obliczanie ograniczenia emisji gazów cieplarnianych w cyklu życia wybranego biopaliwa / 3.
Metody dydaktyczne – ćwiczenia audytoryjne, prezentacja wykonanych opracowań, dyskusja w zespołach i w grupie studenckiej,
Laboratoria:
1. Badanie wybranych parametrów jakościowych bioetanolu / 2
2. Badanie właściwości reologicznych estrów metylowych olejów roślinnych / 4
4. Badanie podstawowych parametrów normatywnych estrów metylowych oleju rzepakowego / 4
5. Badanie odporności na utlenianie wybranych biopaliw / 2
6. Badanie właściwości mieszanin biopaliwa i paliw ropopochodnych / 3
Metody dydaktyczne – przygotowanie i samodzielne wykonanie badań próbek biopaliw  pod nadzorem nauczyciela akademickiego, samodzielne opracowanie wyników badań i ich analizy, opracowanie sprawozdania z realizacji każdego ćwiczenia.
</w:t>
      </w:r>
    </w:p>
    <w:p>
      <w:pPr>
        <w:keepNext w:val="1"/>
        <w:spacing w:after="10"/>
      </w:pPr>
      <w:r>
        <w:rPr>
          <w:b/>
          <w:bCs/>
        </w:rPr>
        <w:t xml:space="preserve">Metody oceny: </w:t>
      </w:r>
    </w:p>
    <w:p>
      <w:pPr>
        <w:spacing w:before="20" w:after="190"/>
      </w:pPr>
      <w:r>
        <w:rPr/>
        <w:t xml:space="preserve">Przedmiot zaliczany jest na podstawie: egzaminu
Ćwiczenia zaliczane są na podstawie: rezultatów wykonanych samodzielnie opracowań, wypowiedzi w dyskusjach i wypowiedzi na zadany temat.
Ćwiczenia laboratoryjne zaliczane są na podstawie: wyników sprawdzenia przygotowania się do ćwiczenia, oceny pracy podczas wykonywania pomiarów, wyników przeprowadzonych analiz oraz wykonanego sprawozdania z każdego ćwiczenia.
Egzamin jest prowadzony w formie pisemnej i polega na udzieleniu odpowiedzi na zadane pytania egzaminacyjne.
Warunkiem dopuszczenia do egzaminu jest uzyskanie pozytywnej oceny z zaliczenia ćwiczeń laboratoryjnych i ćwiczeń audytoryjnych.
efekty W1, W2 - sprawdzenie podczas egzaminu;
efekty U1, U2, K2 - sprawdzenie podczas ćwiczeń laboratoryjnych;
efekty W1, U2, K1 - sprawdzenie podczas ćwiczeń audytoryjnych.
</w:t>
      </w:r>
    </w:p>
    <w:p>
      <w:pPr>
        <w:keepNext w:val="1"/>
        <w:spacing w:after="10"/>
      </w:pPr>
      <w:r>
        <w:rPr>
          <w:b/>
          <w:bCs/>
        </w:rPr>
        <w:t xml:space="preserve">Egzamin: </w:t>
      </w:r>
    </w:p>
    <w:p>
      <w:pPr>
        <w:spacing w:before="20" w:after="190"/>
      </w:pPr>
      <w:r>
        <w:rPr/>
        <w:t xml:space="preserve">tak</w:t>
      </w:r>
    </w:p>
    <w:p>
      <w:pPr>
        <w:keepNext w:val="1"/>
        <w:spacing w:after="10"/>
      </w:pPr>
      <w:r>
        <w:rPr>
          <w:b/>
          <w:bCs/>
        </w:rPr>
        <w:t xml:space="preserve">Literatura: </w:t>
      </w:r>
    </w:p>
    <w:p>
      <w:pPr>
        <w:spacing w:before="20" w:after="190"/>
      </w:pPr>
      <w:r>
        <w:rPr/>
        <w:t xml:space="preserve">podstawowa: 
autor, tytuł, wydawnictwo, rok wydania
•	Baczewski K., Kałdoński T.: Paliwa do silników o zapłonie samoczynnym, WKŁ Warszawa, 2008
•	Baczewski K., Kałdoński T.: Paliwa do silników o zapłonie iskrowym, WKŁ Warszawa, 2005
•	Baczewski K., Szczawiński P., Zielnik W.: Płyny eksploatacyjne. Wstęp do zajęć laboratoryjnych, WAT Warszawa, 2010
•	Biofuels – Economy, Environment and Sustainability,InTech, 2013
•	Sitnik L.J.: Ekopaliwa silnikowe, Oficyna Wydawnicza Politechniki Wrocławskiej, Wrocław 2004
uzupełniająca:
autor, tytuł, wydawnictwo, rok wydania
•	normy przedmiotowe dotyczące wymagań i metod badań paliw i biopaliw
•	artykuły w czasopismach n-t z zakresu biopaliw,
•	przepisy prawne dotyczące wytwarzania, jakości i zastosowania biopaliw 
</w:t>
      </w:r>
    </w:p>
    <w:p>
      <w:pPr>
        <w:keepNext w:val="1"/>
        <w:spacing w:after="10"/>
      </w:pPr>
      <w:r>
        <w:rPr>
          <w:b/>
          <w:bCs/>
        </w:rPr>
        <w:t xml:space="preserve">Witryna www przedmiotu: </w:t>
      </w:r>
    </w:p>
    <w:p>
      <w:pPr>
        <w:spacing w:before="20" w:after="190"/>
      </w:pPr>
      <w:r>
        <w:rPr/>
        <w:t xml:space="preserve">-</w:t>
      </w:r>
    </w:p>
    <w:p>
      <w:pPr>
        <w:keepNext w:val="1"/>
        <w:spacing w:after="10"/>
      </w:pPr>
      <w:r>
        <w:rPr>
          <w:b/>
          <w:bCs/>
        </w:rPr>
        <w:t xml:space="preserve">Uwagi: </w:t>
      </w:r>
    </w:p>
    <w:p>
      <w:pPr>
        <w:spacing w:before="20" w:after="190"/>
      </w:pPr>
      <w:r>
        <w:rPr/>
        <w:t xml:space="preserve">-</w:t>
      </w:r>
    </w:p>
    <w:p>
      <w:pPr>
        <w:pStyle w:val="Heading2"/>
      </w:pPr>
      <w:bookmarkStart w:id="1" w:name="_Toc1"/>
      <w:r>
        <w:t>Charakterystyki przedmiotowe</w:t>
      </w:r>
      <w:bookmarkEnd w:id="1"/>
    </w:p>
    <w:p>
      <w:pPr>
        <w:pStyle w:val="Heading3"/>
      </w:pPr>
      <w:bookmarkStart w:id="2" w:name="_Toc2"/>
      <w:r>
        <w:t>Profil ogólnoakademicki - wiedza</w:t>
      </w:r>
      <w:bookmarkEnd w:id="2"/>
    </w:p>
    <w:p>
      <w:pPr>
        <w:keepNext w:val="1"/>
        <w:spacing w:after="10"/>
      </w:pPr>
      <w:r>
        <w:rPr>
          <w:b/>
          <w:bCs/>
        </w:rPr>
        <w:t xml:space="preserve">Charakterystyka W_01: </w:t>
      </w:r>
    </w:p>
    <w:p>
      <w:pPr/>
      <w:r>
        <w:rPr/>
        <w:t xml:space="preserve">Ma szczegółową, uporządkowaną i podbudowaną teoretycznie wiedzę ogólną w zakresie biopaliw , w tym w zakresie oceny ich właściwości i zastosowania </w:t>
      </w:r>
    </w:p>
    <w:p>
      <w:pPr>
        <w:spacing w:before="60"/>
      </w:pPr>
      <w:r>
        <w:rPr/>
        <w:t xml:space="preserve">Weryfikacja: </w:t>
      </w:r>
    </w:p>
    <w:p>
      <w:pPr>
        <w:spacing w:before="20" w:after="190"/>
      </w:pPr>
      <w:r>
        <w:rPr/>
        <w:t xml:space="preserve">egzamin</w:t>
      </w:r>
    </w:p>
    <w:p>
      <w:pPr>
        <w:spacing w:before="20" w:after="190"/>
      </w:pPr>
      <w:r>
        <w:rPr>
          <w:b/>
          <w:bCs/>
        </w:rPr>
        <w:t xml:space="preserve">Powiązane charakterystyki kierunkowe: </w:t>
      </w:r>
      <w:r>
        <w:rPr/>
        <w:t xml:space="preserve">K_W06</w:t>
      </w:r>
    </w:p>
    <w:p>
      <w:pPr>
        <w:spacing w:before="20" w:after="190"/>
      </w:pPr>
      <w:r>
        <w:rPr>
          <w:b/>
          <w:bCs/>
        </w:rPr>
        <w:t xml:space="preserve">Powiązane charakterystyki obszarowe: </w:t>
      </w:r>
      <w:r>
        <w:rPr/>
        <w:t xml:space="preserve"/>
      </w:r>
    </w:p>
    <w:p>
      <w:pPr>
        <w:keepNext w:val="1"/>
        <w:spacing w:after="10"/>
      </w:pPr>
      <w:r>
        <w:rPr>
          <w:b/>
          <w:bCs/>
        </w:rPr>
        <w:t xml:space="preserve">Charakterystyka W_02: </w:t>
      </w:r>
    </w:p>
    <w:p>
      <w:pPr/>
      <w:r>
        <w:rPr/>
        <w:t xml:space="preserve">/ Ma uporządkowaną wiedzę w zakresie ochrony środowiska w biogospodarce, zwłaszcza w zakresie metod i technologii ograniczania emisji szkodliwych czynników podczas użytkowania biopaliw </w:t>
      </w:r>
    </w:p>
    <w:p>
      <w:pPr>
        <w:spacing w:before="60"/>
      </w:pPr>
      <w:r>
        <w:rPr/>
        <w:t xml:space="preserve">Weryfikacja: </w:t>
      </w:r>
    </w:p>
    <w:p>
      <w:pPr>
        <w:spacing w:before="20" w:after="190"/>
      </w:pPr>
      <w:r>
        <w:rPr/>
        <w:t xml:space="preserve">egzamin</w:t>
      </w:r>
    </w:p>
    <w:p>
      <w:pPr>
        <w:spacing w:before="20" w:after="190"/>
      </w:pPr>
      <w:r>
        <w:rPr>
          <w:b/>
          <w:bCs/>
        </w:rPr>
        <w:t xml:space="preserve">Powiązane charakterystyki kierunkowe: </w:t>
      </w:r>
      <w:r>
        <w:rPr/>
        <w:t xml:space="preserve">K_W13</w:t>
      </w:r>
    </w:p>
    <w:p>
      <w:pPr>
        <w:spacing w:before="20" w:after="190"/>
      </w:pPr>
      <w:r>
        <w:rPr>
          <w:b/>
          <w:bCs/>
        </w:rPr>
        <w:t xml:space="preserve">Powiązane charakterystyki obszarowe: </w:t>
      </w:r>
      <w:r>
        <w:rPr/>
        <w:t xml:space="preserve"/>
      </w:r>
    </w:p>
    <w:p>
      <w:pPr>
        <w:pStyle w:val="Heading3"/>
      </w:pPr>
      <w:bookmarkStart w:id="3" w:name="_Toc3"/>
      <w:r>
        <w:t>Profil ogólnoakademicki - umiejętności</w:t>
      </w:r>
      <w:bookmarkEnd w:id="3"/>
    </w:p>
    <w:p>
      <w:pPr>
        <w:keepNext w:val="1"/>
        <w:spacing w:after="10"/>
      </w:pPr>
      <w:r>
        <w:rPr>
          <w:b/>
          <w:bCs/>
        </w:rPr>
        <w:t xml:space="preserve">Charakterystyka U_01: </w:t>
      </w:r>
    </w:p>
    <w:p>
      <w:pPr/>
      <w:r>
        <w:rPr/>
        <w:t xml:space="preserve">Potrafi posłużyć się właściwie dobranymi metodami i urządzeniami umożliwiającymi pomiar podstawowych wielkości charakteryzujących biopaliwa </w:t>
      </w:r>
    </w:p>
    <w:p>
      <w:pPr>
        <w:spacing w:before="60"/>
      </w:pPr>
      <w:r>
        <w:rPr/>
        <w:t xml:space="preserve">Weryfikacja: </w:t>
      </w:r>
    </w:p>
    <w:p>
      <w:pPr>
        <w:spacing w:before="20" w:after="190"/>
      </w:pPr>
      <w:r>
        <w:rPr/>
        <w:t xml:space="preserve">egzamin</w:t>
      </w:r>
    </w:p>
    <w:p>
      <w:pPr>
        <w:spacing w:before="20" w:after="190"/>
      </w:pPr>
      <w:r>
        <w:rPr>
          <w:b/>
          <w:bCs/>
        </w:rPr>
        <w:t xml:space="preserve">Powiązane charakterystyki kierunkowe: </w:t>
      </w:r>
      <w:r>
        <w:rPr/>
        <w:t xml:space="preserve">K_U08</w:t>
      </w:r>
    </w:p>
    <w:p>
      <w:pPr>
        <w:spacing w:before="20" w:after="190"/>
      </w:pPr>
      <w:r>
        <w:rPr>
          <w:b/>
          <w:bCs/>
        </w:rPr>
        <w:t xml:space="preserve">Powiązane charakterystyki obszarowe: </w:t>
      </w:r>
      <w:r>
        <w:rPr/>
        <w:t xml:space="preserve"/>
      </w:r>
    </w:p>
    <w:p>
      <w:pPr>
        <w:keepNext w:val="1"/>
        <w:spacing w:after="10"/>
      </w:pPr>
      <w:r>
        <w:rPr>
          <w:b/>
          <w:bCs/>
        </w:rPr>
        <w:t xml:space="preserve">Charakterystyka U_02: </w:t>
      </w:r>
    </w:p>
    <w:p>
      <w:pPr/>
      <w:r>
        <w:rPr/>
        <w:t xml:space="preserve">/ Potrafi korzystać z kart katalogowych, norm przedmiotowych i not aplikacyjnych w celu dobrania, zamienności i prawidłowego użytkowania biopaliw </w:t>
      </w:r>
    </w:p>
    <w:p>
      <w:pPr>
        <w:spacing w:before="60"/>
      </w:pPr>
      <w:r>
        <w:rPr/>
        <w:t xml:space="preserve">Weryfikacja: </w:t>
      </w:r>
    </w:p>
    <w:p>
      <w:pPr>
        <w:spacing w:before="20" w:after="190"/>
      </w:pPr>
      <w:r>
        <w:rPr/>
        <w:t xml:space="preserve">egzamin</w:t>
      </w:r>
    </w:p>
    <w:p>
      <w:pPr>
        <w:spacing w:before="20" w:after="190"/>
      </w:pPr>
      <w:r>
        <w:rPr>
          <w:b/>
          <w:bCs/>
        </w:rPr>
        <w:t xml:space="preserve">Powiązane charakterystyki kierunkowe: </w:t>
      </w:r>
      <w:r>
        <w:rPr/>
        <w:t xml:space="preserve">K_U14</w:t>
      </w:r>
    </w:p>
    <w:p>
      <w:pPr>
        <w:spacing w:before="20" w:after="190"/>
      </w:pPr>
      <w:r>
        <w:rPr>
          <w:b/>
          <w:bCs/>
        </w:rPr>
        <w:t xml:space="preserve">Powiązane charakterystyki obszarowe: </w:t>
      </w:r>
      <w:r>
        <w:rPr/>
        <w:t xml:space="preserve"/>
      </w:r>
    </w:p>
    <w:p>
      <w:pPr>
        <w:pStyle w:val="Heading3"/>
      </w:pPr>
      <w:bookmarkStart w:id="4" w:name="_Toc4"/>
      <w:r>
        <w:t>Profil ogólnoakademicki - kompetencje społeczne</w:t>
      </w:r>
      <w:bookmarkEnd w:id="4"/>
    </w:p>
    <w:p>
      <w:pPr>
        <w:keepNext w:val="1"/>
        <w:spacing w:after="10"/>
      </w:pPr>
      <w:r>
        <w:rPr>
          <w:b/>
          <w:bCs/>
        </w:rPr>
        <w:t xml:space="preserve">Charakterystyka K_01: </w:t>
      </w:r>
    </w:p>
    <w:p>
      <w:pPr/>
      <w:r>
        <w:rPr/>
        <w:t xml:space="preserve">Ma świadomość ważności i rozumie rolę biopaliw w funkcjonowaniu urządzeń technicznych, w tym ich wpływ na środowisko naturalne</w:t>
      </w:r>
    </w:p>
    <w:p>
      <w:pPr>
        <w:spacing w:before="60"/>
      </w:pPr>
      <w:r>
        <w:rPr/>
        <w:t xml:space="preserve">Weryfikacja: </w:t>
      </w:r>
    </w:p>
    <w:p>
      <w:pPr>
        <w:spacing w:before="20" w:after="190"/>
      </w:pPr>
      <w:r>
        <w:rPr/>
        <w:t xml:space="preserve">egzamin</w:t>
      </w:r>
    </w:p>
    <w:p>
      <w:pPr>
        <w:spacing w:before="20" w:after="190"/>
      </w:pPr>
      <w:r>
        <w:rPr>
          <w:b/>
          <w:bCs/>
        </w:rPr>
        <w:t xml:space="preserve">Powiązane charakterystyki kierunkowe: </w:t>
      </w:r>
      <w:r>
        <w:rPr/>
        <w:t xml:space="preserve">K_K02</w:t>
      </w:r>
    </w:p>
    <w:p>
      <w:pPr>
        <w:spacing w:before="20" w:after="190"/>
      </w:pPr>
      <w:r>
        <w:rPr>
          <w:b/>
          <w:bCs/>
        </w:rPr>
        <w:t xml:space="preserve">Powiązane charakterystyki obszarowe: </w:t>
      </w:r>
      <w:r>
        <w:rPr/>
        <w:t xml:space="preserve"/>
      </w:r>
    </w:p>
    <w:p>
      <w:pPr>
        <w:keepNext w:val="1"/>
        <w:spacing w:after="10"/>
      </w:pPr>
      <w:r>
        <w:rPr>
          <w:b/>
          <w:bCs/>
        </w:rPr>
        <w:t xml:space="preserve">Charakterystyka K_02: </w:t>
      </w:r>
    </w:p>
    <w:p>
      <w:pPr/>
      <w:r>
        <w:rPr/>
        <w:t xml:space="preserve">Potrafi współdziałać i pracować w grupie przyjmując w niej różne role, w tym wykonawcy i kierownika </w:t>
      </w:r>
    </w:p>
    <w:p>
      <w:pPr>
        <w:spacing w:before="60"/>
      </w:pPr>
      <w:r>
        <w:rPr/>
        <w:t xml:space="preserve">Weryfikacja: </w:t>
      </w:r>
    </w:p>
    <w:p>
      <w:pPr>
        <w:spacing w:before="20" w:after="190"/>
      </w:pPr>
      <w:r>
        <w:rPr/>
        <w:t xml:space="preserve">egzamin</w:t>
      </w:r>
    </w:p>
    <w:p>
      <w:pPr>
        <w:spacing w:before="20" w:after="190"/>
      </w:pPr>
      <w:r>
        <w:rPr>
          <w:b/>
          <w:bCs/>
        </w:rPr>
        <w:t xml:space="preserve">Powiązane charakterystyki kierunkowe: </w:t>
      </w:r>
      <w:r>
        <w:rPr/>
        <w:t xml:space="preserve">K_K03</w:t>
      </w:r>
    </w:p>
    <w:p>
      <w:pPr>
        <w:spacing w:before="20" w:after="190"/>
      </w:pPr>
      <w:r>
        <w:rPr>
          <w:b/>
          <w:bCs/>
        </w:rPr>
        <w:t xml:space="preserve">Powiązane charakterystyki obszarowe: </w:t>
      </w:r>
      <w:r>
        <w:rPr/>
        <w:t xml:space="preserve"/>
      </w:r>
    </w:p>
    <w:sectPr>
      <w:pgSz w:orient="portrait" w:w="11905.511811023622" w:h="16837.79527559055"/>
      <w:pgMar w:top="1440" w:right="1440" w:bottom="1440" w:left="1440" w:header="720" w:footer="720" w:gutter="0"/>
      <w:cols w:num="1" w:space="720"/>
    </w:sectPr>
  </w:body>
</w:document>
</file>

<file path=word/comments.xml><?xml version="1.0" encoding="utf-8"?>
<w:comments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fontTable.xml><?xml version="1.0" encoding="utf-8"?>
<w:fonts xmlns:r="http://schemas.openxmlformats.org/officeDocument/2006/relationships" xmlns:w="http://schemas.openxmlformats.org/wordprocessingml/2006/main">
  <w:font w:name="Times New Roman">
    <w:panose1 w:val="02020603050405020304"/>
    <w:charset w:val="00"/>
    <w:family w:val="roman"/>
    <w:pitch w:val="variable"/>
    <w:sig w:usb0="E0002AFF" w:usb1="C0007841" w:usb2="00000009" w:usb3="00000000" w:csb0="000001F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Arial">
    <w:panose1 w:val="020B0604020202020204"/>
    <w:charset w:val="00"/>
    <w:family w:val="swiss"/>
    <w:pitch w:val="variable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A00002EF" w:usb1="4000004B" w:usb2="00000000" w:usb3="00000000" w:csb0="0000019F" w:csb1="00000000"/>
  </w:font>
  <w:font w:name="Calibri">
    <w:panose1 w:val="020F0502020204030204"/>
    <w:charset w:val="00"/>
    <w:family w:val="swiss"/>
    <w:pitch w:val="variable"/>
    <w:sig w:usb0="E10002FF" w:usb1="4000ACFF" w:usb2="00000009" w:usb3="00000000" w:csb0="0000019F" w:csb1="00000000"/>
  </w:font>
</w:fonts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settings.xml><?xml version="1.0" encoding="utf-8"?>
<w:settings xmlns:r="http://schemas.openxmlformats.org/officeDocument/2006/relationships" xmlns:w="http://schemas.openxmlformats.org/wordprocessingml/2006/main" xmlns:m="http://schemas.openxmlformats.org/officeDocument/2006/math" xmlns:sl="http://schemas.openxmlformats.org/schemaLibrary/2006/main" xmlns:o="urn:schemas-microsoft-com:office:office" xmlns:v="urn:schemas-microsoft-com:vml" xmlns:w10="urn:schemas-microsoft-com:office:word">
  <w:defaultTabStop w:val="708"/>
  <w:hyphenationZone w:val="425"/>
  <w:characterSpacingControl w:val="doNotCompress"/>
  <w:decimalSymbol w:val="."/>
  <w:listSeparator w:val=";"/>
  <w:compat>
    <w:compatSetting w:name="compatibilityMode" w:uri="http://schemas.microsoft.com/office/word" w:val="12"/>
  </w:compat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clrSchemeMapping w:bg1="light1" w:t1="dark1" w:bg2="light2" w:t2="dark2" w:accent1="accent1" w:accent2="accent2" w:accent3="accent3" w:accent4="accent4" w:accent5="accent5" w:accent6="accent6" w:hyperlink="hyperlink" w:followedHyperlink="followedHyperlink"/>
  <w:hideSpellingErrors w:val="false"/>
  <w:hideGrammaticalErrors w:val="false"/>
  <w:trackRevisions w:val="false"/>
  <w:doNotTrackMoves w:val="false"/>
  <w:doNotTrackFormatting w:val="false"/>
  <w:evenAndOddHeaders w:val="false"/>
  <w:updateFields w:val="false"/>
  <w:themeFontLang w:val="en-US"/>
  <w:zoom w:percent="100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="Arial" w:hAnsi="Arial" w:eastAsia="Arial" w:cs="Arial"/>
        <w:sz w:val="20"/>
        <w:szCs w:val="20"/>
        <w:lang w:val="en-US"/>
      </w:rPr>
    </w:rPrDefault>
  </w:docDefaults>
  <w:style w:type="paragraph" w:default="1" w:styleId="Normal">
    <w:name w:val="Normal"/>
  </w:style>
  <w:style w:type="character" w:styleId="FootnoteReference">
    <w:name w:val="Footnote Reference"/>
    <w:semiHidden/>
    <w:unhideWhenUsed/>
    <w:rPr>
      <w:vertAlign w:val="superscript"/>
    </w:rPr>
  </w:style>
  <w:style w:type="paragraph" w:styleId="Heading2">
    <w:link w:val="Heading2Char"/>
    <w:name w:val="heading 2"/>
    <w:basedOn w:val="Normal"/>
    <w:pPr>
      <w:spacing w:before="40" w:after="190"/>
    </w:pPr>
    <w:rPr>
      <w:sz w:val="34"/>
      <w:szCs w:val="34"/>
      <w:b/>
      <w:bCs/>
    </w:rPr>
  </w:style>
  <w:style w:type="paragraph" w:styleId="Heading3">
    <w:link w:val="Heading3Char"/>
    <w:name w:val="heading 3"/>
    <w:basedOn w:val="Normal"/>
    <w:pPr>
      <w:spacing w:before="40" w:after="190"/>
    </w:pPr>
    <w:rPr>
      <w:sz w:val="26"/>
      <w:szCs w:val="26"/>
      <w:b/>
      <w:bCs/>
    </w:rPr>
  </w:style>
</w:styles>
</file>

<file path=word/webSettings.xml><?xml version="1.0" encoding="utf-8"?>
<w:webSettings xmlns:r="http://schemas.openxmlformats.org/officeDocument/2006/relationships" xmlns:w="http://schemas.openxmlformats.org/wordprocessingml/2006/main">
  <w:optimizeForBrowser/>
</w:webSettings>
</file>

<file path=word/_rels/document.xml.rels><?xml version="1.0" encoding="UTF-8" standalone="yes"?>
<Relationships xmlns="http://schemas.openxmlformats.org/package/2006/relationships"><Relationship Id="rId1" Type="http://schemas.openxmlformats.org/officeDocument/2006/relationships/styles" Target="styles.xml"/><Relationship Id="rId2" Type="http://schemas.openxmlformats.org/officeDocument/2006/relationships/numbering" Target="numbering.xml"/><Relationship Id="rId3" Type="http://schemas.openxmlformats.org/officeDocument/2006/relationships/settings" Target="settings.xml"/><Relationship Id="rId4" Type="http://schemas.openxmlformats.org/officeDocument/2006/relationships/theme" Target="theme/theme1.xml"/><Relationship Id="rId5" Type="http://schemas.openxmlformats.org/officeDocument/2006/relationships/webSettings" Target="webSettings.xml"/><Relationship Id="rId6" Type="http://schemas.openxmlformats.org/officeDocument/2006/relationships/fontTable" Target="fontTable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Application>PHPWord</Application>
  <Company/>
  <Manager/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/>
  <dc:title/>
  <dc:description/>
  <dc:subject/>
  <cp:keywords/>
  <cp:category/>
  <cp:lastModifiedBy/>
  <dcterms:created xsi:type="dcterms:W3CDTF">2026-10-14T14:05:04+02:00</dcterms:created>
  <dcterms:modified xsi:type="dcterms:W3CDTF">2026-10-14T14:05:04+02:00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