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90, &lt;br&gt;
2) Praca własna studenta – 90 godz. &lt;br&gt;
Razem – 180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niewielką pomocą prowadzącego. W szczególności rozwiązania postawionego problemu, doboru literatury, metod badawczych, przedstawienia i krytycznej analizy wyników.  &lt;br&gt;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 &lt;br&gt;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ML.NK491_W1: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ML.NK491_U1: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ML.NK491_U3: </w:t>
      </w:r>
    </w:p>
    <w:p>
      <w:pPr/>
      <w:r>
        <w:rPr/>
        <w:t xml:space="preserve">Potrafi rozwiązać proste zadanie z zakresu automatyki i robotyki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ML.NK491_U3: </w:t>
      </w:r>
    </w:p>
    <w:p>
      <w:pPr/>
      <w:r>
        <w:rPr/>
        <w:t xml:space="preserve">Potrafi rozwiązać proste zadanie z zakresu automatyki i robotyki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ML.NK491_U4: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ML.NK491_K1: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2026-10-14T00:40:17+02:00</dcterms:created>
  <dcterms:modified xsi:type="dcterms:W3CDTF">2026-10-14T00:40:17+02:00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