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 (WS1A_09/02)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Marlena Piekut/adiunkt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dotyczącą technik i narzędzi komunikacji w organizacji gospodarczej.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wykorzystać różne formy komunikowania się w różnorodnych środowiskach.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K01_03: </w:t>
      </w:r>
    </w:p>
    <w:p>
      <w:pPr/>
      <w:r>
        <w:rPr/>
        <w:t xml:space="preserve">Ma świadomość konieczności poszerzania wiedzy i rozwijania umiejętności z zakresu komunikowania się interpersonalnego, grupowego i międzykulturowego.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W8)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współdziałać i pracować w grupie, przyjmując w niej różne role w zależności od sytuacji i współuczestników.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(W3 - W4, W7)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2026-10-15T17:24:49+02:00</dcterms:created>
  <dcterms:modified xsi:type="dcterms:W3CDTF">2026-10-15T17:24:49+02:00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