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Potrafi korzystać z literatury przedmiotu w tym: książek, publikacji wyników badań naukowych, czasopism i baz danych z Internetu w obszarze elektroenergetyki i ciepłownictwa.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Potrafi określić efektywność energetyczną obiegu cieplnego siłowni, w tym: sprawność i jednostkowe zużycie ciepła w bloku kondensacyjnym.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ML.NS725_U4.: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 w tym: oszczędność energii pierwotnej oraz jednostkowy zdyskontowany koszt wytwarzania ciepła w EC.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KS1_WSC: </w:t>
      </w:r>
    </w:p>
    <w:p>
      <w:pPr/>
      <w:r>
        <w:rPr/>
        <w:t xml:space="preserve">Potrafi pracować w grupie i wspólnie analizować uzyskane wyniki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2026-10-13T22:34:51+02:00</dcterms:created>
  <dcterms:modified xsi:type="dcterms:W3CDTF">2026-10-13T22:34:51+02:00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