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Perspektywiczne technologie chłodnicze</w:t>
      </w:r>
    </w:p>
    <w:p>
      <w:pPr>
        <w:keepNext w:val="1"/>
        <w:spacing w:after="10"/>
      </w:pPr>
      <w:r>
        <w:rPr>
          <w:b/>
          <w:bCs/>
        </w:rPr>
        <w:t xml:space="preserve">Koordynator przedmiotu: </w:t>
      </w:r>
    </w:p>
    <w:p>
      <w:pPr>
        <w:spacing w:before="20" w:after="190"/>
      </w:pPr>
      <w:r>
        <w:rPr/>
        <w:t xml:space="preserve">dr inż. Adam Ruciński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Specjalnosciowe</w:t>
      </w:r>
    </w:p>
    <w:p>
      <w:pPr>
        <w:keepNext w:val="1"/>
        <w:spacing w:after="10"/>
      </w:pPr>
      <w:r>
        <w:rPr>
          <w:b/>
          <w:bCs/>
        </w:rPr>
        <w:t xml:space="preserve">Kod przedmiotu: </w:t>
      </w:r>
    </w:p>
    <w:p>
      <w:pPr>
        <w:spacing w:before="20" w:after="190"/>
      </w:pPr>
      <w:r>
        <w:rPr/>
        <w:t xml:space="preserve">ML.NS575A</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ćwiczenia – 15 godz.,
c) konsultacje – 2 godz.
2) Praca własna studenta – 20 godz, w tym:
a) studiowanie literatury, bieżące przygotowywanie się do zajęć – 10 godz.,
b) przygotowywanie się do kolokwiów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15 godz.,
b) ćwiczenia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technologii chłodniczych, które dopiero co zaczynają zdobywać rynek komercyjny. Są to technologie chłodzenia termoakustycznego, chłodzenia magnetycznego oraz chłodzenia próżniowego. Dodatkowo omawiane będą zagadnienia rurek ciepła, które coraz częściej są wykorzystywane w technikach związanych z chłodnictwem.</w:t>
      </w:r>
    </w:p>
    <w:p>
      <w:pPr>
        <w:keepNext w:val="1"/>
        <w:spacing w:after="10"/>
      </w:pPr>
      <w:r>
        <w:rPr>
          <w:b/>
          <w:bCs/>
        </w:rPr>
        <w:t xml:space="preserve">Treści kształcenia: </w:t>
      </w:r>
    </w:p>
    <w:p>
      <w:pPr>
        <w:spacing w:before="20" w:after="190"/>
      </w:pPr>
      <w:r>
        <w:rPr/>
        <w:t xml:space="preserve">Szczegółowy harmonogram zajęć: 
- historia termoakustycznych urządzeń chłodniczych;
- urządzenia chłodzące Stirlinga;
- rury pulsacyjne;
- termoakustyczne urządzenia chłodnicze z falą stojącą;
- termoakustyczne urządzenia chłodnicze z falą biegnącą;
- chłodzenie próżniowe;
- chłodnicze urządzenia magnetyczne, cz. 1;
- chłodnicze urządzenia magnetyczne, cz. 2;
- chłodnicze urządzenia magnetyczne, cz. 3;
- chłodnicze urządzenia magnetyczne, cz. 4;
- rurki ciepła, cz. 1;
- rurki ciepła, cz. 2.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dostarczone przez prowadzącego zajęcia, zasoby internetowe, zasoby literatury w E-bazy Biblioteki Cyfrowej Politechniki Warszawskiej.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ML.NS575A-W1: </w:t>
      </w:r>
    </w:p>
    <w:p>
      <w:pPr/>
      <w:r>
        <w:rPr/>
        <w:t xml:space="preserve">									Ma podstawową wiedzę na temat historii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E2_W15</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ML.NS575A-W3: </w:t>
      </w:r>
    </w:p>
    <w:p>
      <w:pPr/>
      <w:r>
        <w:rPr/>
        <w:t xml:space="preserve">									Ma podstawową wiedzę na temat urządzeń wykorzystujących efekt magnetokaloryczny, zna podstawowe zależności termodynamiczne do opisu przemian termodynamicznych, zna podstawowe właściwości materiałowe.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ML.NS575A-W3: </w:t>
      </w:r>
    </w:p>
    <w:p>
      <w:pPr/>
      <w:r>
        <w:rPr/>
        <w:t xml:space="preserve">									Ma podstawową wiedzę na temat urządzeń wykorzystujących efekt magnetokaloryczny, zna podstawowe zależności termodynamiczne do opisu przemian termodynamicznych, zna podstawowe właściwości materiałowe.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E2_W06</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E2_U11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E2_U18</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ML.NS575A-U2: </w:t>
      </w:r>
    </w:p>
    <w:p>
      <w:pPr/>
      <w:r>
        <w:rPr/>
        <w:t xml:space="preserve">											Potrafi dokonać oceny wyboru danego paramagnetyku dla danego rozwiązania technicznego, umie dokonywać podstawowych obliczeń przemian termodynamicznych i określać efektywność chłodziarki magnetokalorycznej.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ML.NS575A-U3: </w:t>
      </w:r>
    </w:p>
    <w:p>
      <w:pPr/>
      <w:r>
        <w:rPr/>
        <w:t xml:space="preserve">										Potrafi dokonać obliczeń rurek ciepła, umie zaprojektować rurkę ciepła do danego zastosowania w zależności od żądanej wydajności cieplnej.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2026-10-17T08:28:47+02:00</dcterms:created>
  <dcterms:modified xsi:type="dcterms:W3CDTF">2026-10-17T08:28:47+02:00</dcterms:modified>
</cp:coreProperties>
</file>

<file path=docProps/custom.xml><?xml version="1.0" encoding="utf-8"?>
<Properties xmlns="http://schemas.openxmlformats.org/officeDocument/2006/custom-properties" xmlns:vt="http://schemas.openxmlformats.org/officeDocument/2006/docPropsVTypes"/>
</file>