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 K_W07: </w:t>
      </w:r>
    </w:p>
    <w:p>
      <w:pPr/>
      <w:r>
        <w:rPr/>
        <w:t xml:space="preserve">Ma wiedzę na temat zasad i celu funkcjonowania organizacji. Ma wiedzę na temat procedur podejmowania decyzji, obiegu dokumentów oraz wymogach kwalifikacyjnych poszczególnych stanowisk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brać udział w realizacji typowych projektów dla danej organizacji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 K_K06 K_K07: </w:t>
      </w:r>
    </w:p>
    <w:p>
      <w:pPr/>
      <w:r>
        <w:rPr/>
        <w:t xml:space="preserve">Posiada umiejętność pracy w zespole. Ma elementarne umiejętności organizacyjne pozwalające na realizację celów, wyznaczonych przez przełożonych. Rozumie potrzebę systematycznego śledzenia sytuacji na rynku pracy i podnoszenia swoich kwalifikacji zawodowych. 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K_KO2, K_KO6, 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S1P_K07, S1P_K01, S1P_K06,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2026-06-04T07:01:11+02:00</dcterms:created>
  <dcterms:modified xsi:type="dcterms:W3CDTF">2026-06-04T07:01:11+02:00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