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inżynierii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laboratorium-15 godz.;
2) Praca własna studenta – 10 godz., bieżące przygotowywanie się studenta do ćwiczeń i studia literaturowe.
3) RAZEM – 25 godz..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punktu ECTS – liczba godzin kontaktowych: laboratorium-15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 laboratoryjne  – 15 godz.
2) przygotowywanie się do ćwiczeń laboratoryjnych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Windows, podstaw opisu algorytmów i budowy diagramów blokowych.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podstawowych technik programowania związanych z budową aplikacji analizujących sygnały i dane pomiarowe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języka Matlab w zadaniach analizy sygnałów
Zagadnienia:
1. Interfejs środowiska Matlab, struktury danych i podstawowe operacje na nich 
2. Obiektowy system graficzny środowiska Matlab
3. Budowa procedur i funkcji 
4. Operacje na plikach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WWW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otrzymują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1150-PE000-ISP-0125_W1: </w:t>
      </w:r>
    </w:p>
    <w:p>
      <w:pPr/>
      <w:r>
        <w:rPr/>
        <w:t xml:space="preserve">Posiada podstawową wiedzę na temat komputerowego wspomagania prac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1150-PE000-ISP-0125_U1: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1150-PE000-ISP-0125_U2: </w:t>
      </w:r>
    </w:p>
    <w:p>
      <w:pPr/>
      <w:r>
        <w:rPr/>
        <w:t xml:space="preserve">Potrafi budować podstawowe programy komputerowe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1150-PE000-ISP-0125_K1: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2026-10-17T00:22:43+02:00</dcterms:created>
  <dcterms:modified xsi:type="dcterms:W3CDTF">2026-10-17T00:22:43+02:00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