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T1A_U08, T1A_U09, InzA_U01, InzA_U02, T1A_U12, T1A_U16</w:t>
      </w:r>
    </w:p>
    <w:p>
      <w:pPr>
        <w:pStyle w:val="Heading3"/>
      </w:pPr>
      <w:bookmarkStart w:id="4" w:name="_Toc4"/>
      <w:r>
        <w:t>Profil ogólnoakademicki - kompetencje społeczne</w:t>
      </w:r>
      <w:bookmarkEnd w:id="4"/>
    </w:p>
    <w:p>
      <w:pPr>
        <w:keepNext w:val="1"/>
        <w:spacing w:after="10"/>
      </w:pPr>
      <w:r>
        <w:rPr>
          <w:b/>
          <w:bCs/>
        </w:rPr>
        <w:t xml:space="preserve">Efekt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2026-10-19T00:16:14+02:00</dcterms:created>
  <dcterms:modified xsi:type="dcterms:W3CDTF">2026-10-19T00:16:14+02:00</dcterms:modified>
</cp:coreProperties>
</file>

<file path=docProps/custom.xml><?xml version="1.0" encoding="utf-8"?>
<Properties xmlns="http://schemas.openxmlformats.org/officeDocument/2006/custom-properties" xmlns:vt="http://schemas.openxmlformats.org/officeDocument/2006/docPropsVTypes"/>
</file>