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Mgr inż. Janusz Pokorski, dr hab. inż. Andrzej Reński,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1150-PE000-ISP-0305</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-30 godz.;
b) laboratorium- 15 godz.;
c) konsultacje ws. wykładu - 1 godz.;
d) konsultacje ws. laboratorium - 4 godz.;
2) Praca własna studenta 
2 punkty ECTS, praca własna studenta – 25 godzin, w tym:
a)	13 godz. – bieżące przygotowywanie się do laboratorium i wykładów (analiza literatury),
b)	12 godz. - przygotowywanie się do 2 kolokwiów.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-30 godz.;
b) laboratorium-15 godz.;
c) konsultacje ws. wykładu - 1 godz.;
d) konsultacje ws. laboratorium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sprawozdań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teorii ruchu samochodów oraz ogólnej wiedzy o ich budowie Umiejętność zastosowania praw fizyki do opisu ruchu samochodu. Świadomość wymagań i ograniczeń w działaniach inżynierskich.</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 zwrotności. Zjawisko bocznego znoszenia opon. 
7. Dynamika ruchu krzywoliniowego. Równanie ruchu krzywoliniowego. Związek między kątem skrętu kół a prędkością kątową. Pod- i nadsterowność 
8. Testy oceny kierowalności. Ruch ustalony. Ruch nieustalony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Wyznaczanie parametrów kontaktowych układu zestaw kół-tor 
4. Stanowiskowe badanie hamulców 
5. Wyznaczanie charakterystyk przyczepności ogumienia 
6. Badanie układu kierowniczego 
7. Badanie hamulców na stanowisku rolkowym
</w:t>
      </w:r>
    </w:p>
    <w:p>
      <w:pPr>
        <w:keepNext w:val="1"/>
        <w:spacing w:after="10"/>
      </w:pPr>
      <w:r>
        <w:rPr>
          <w:b/>
          <w:bCs/>
        </w:rPr>
        <w:t xml:space="preserve">Metody oceny: </w:t>
      </w:r>
    </w:p>
    <w:p>
      <w:pPr>
        <w:spacing w:before="20" w:after="190"/>
      </w:pPr>
      <w:r>
        <w:rPr/>
        <w:t xml:space="preserve">Wykład - dwa kolokwia.
Laboratorium – zaliczenie każdego ćwiczenia na podstawie sprawozdania oraz indywidualna ocena każdego studenta. Ocena końcowa z laboratorium jest wyznaczana jako średnia arytmetyczna z poszczególnych ćwiczeń laboratoryjnych. Wszystkie ćwiczenia laboratoryjne muszą być zaliczone co najmniej na ocenę dostateczną.
Zaliczenie przedmiotu odbywa się na podstawie zaliczenia na ocenę pozytywną zarówno wykładu jak i laboratorium, a ocena końcowa jest obliczana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wydania).
2. Arczyński S. Mechanika ruchu samochodu. WNT Warszawa (różne roczniki wydania, zamiennik do pozycji nr 1).
3. Reński A. Bezpieczeństwo czynne samochodu: zawieszenia oraz układy hamulcowe i kierownicze. OWPW Warszawa 2011.
4. Reński A. Budowa samochodów : układy hamulcowe i kierownicze oraz zawieszenia. OWPW Warszawa (różne roczniki wydania, zamiennik do pozycji nr 3).
5. Kamiński E., Pokorski J. Dynamika zawieszeń i układów napędowych pojazdów samochodowych. WKiŁ Warszawa 1983.
6. Prochowski L. Mechanika ruchu. WKiŁ Warszawa (różne roczniki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1150-PE000-ISP-0305_W1: </w:t>
      </w:r>
    </w:p>
    <w:p>
      <w:pPr/>
      <w:r>
        <w:rPr/>
        <w:t xml:space="preserve">Ma uporządkowaną, podbudowaną teoretycznie wiedzę ogólną obejmującą kluczowe zagadnienia z zakresu mechaniki ruchu pojazdów samochodowych.</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 </w:t>
      </w:r>
    </w:p>
    <w:p>
      <w:pPr>
        <w:spacing w:before="20" w:after="190"/>
      </w:pPr>
      <w:r>
        <w:rPr>
          <w:b/>
          <w:bCs/>
        </w:rPr>
        <w:t xml:space="preserve">Powiązane efekty kierunkowe: </w:t>
      </w:r>
      <w:r>
        <w:rPr/>
        <w:t xml:space="preserve">K_W03, K_W12</w:t>
      </w:r>
    </w:p>
    <w:p>
      <w:pPr>
        <w:spacing w:before="20" w:after="190"/>
      </w:pPr>
      <w:r>
        <w:rPr>
          <w:b/>
          <w:bCs/>
        </w:rPr>
        <w:t xml:space="preserve">Powiązane efekty obszarowe: </w:t>
      </w:r>
      <w:r>
        <w:rPr/>
        <w:t xml:space="preserve">T1A_W01, T1A_W02, T1A_W03</w:t>
      </w:r>
    </w:p>
    <w:p>
      <w:pPr>
        <w:keepNext w:val="1"/>
        <w:spacing w:after="10"/>
      </w:pPr>
      <w:r>
        <w:rPr>
          <w:b/>
          <w:bCs/>
        </w:rPr>
        <w:t xml:space="preserve">Efekt 1150-PE000-ISP-0305_W02: </w:t>
      </w:r>
    </w:p>
    <w:p>
      <w:pPr/>
      <w:r>
        <w:rPr/>
        <w:t xml:space="preserve">Ma uporządkowaną i podbudowaną teoretycznie wiedzę z fizyki, obejmującą mechanikę punktu materialnego i bryły sztywnej w zakresie niezbędnym do zrozumienia podstawowych zjawisk fizycznych występujących w układach napędowych oraz elementach konstrukcyjnych maszyn 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K_W03, K_W15</w:t>
      </w:r>
    </w:p>
    <w:p>
      <w:pPr>
        <w:spacing w:before="20" w:after="190"/>
      </w:pPr>
      <w:r>
        <w:rPr>
          <w:b/>
          <w:bCs/>
        </w:rPr>
        <w:t xml:space="preserve">Powiązane efekty obszarowe: </w:t>
      </w:r>
      <w:r>
        <w:rPr/>
        <w:t xml:space="preserve">T1A_W01, T1A_W02, T1A_W03, T1A_W04, T1A_W07</w:t>
      </w:r>
    </w:p>
    <w:p>
      <w:pPr>
        <w:keepNext w:val="1"/>
        <w:spacing w:after="10"/>
      </w:pPr>
      <w:r>
        <w:rPr>
          <w:b/>
          <w:bCs/>
        </w:rPr>
        <w:t xml:space="preserve">Efekt 1150-PE000-ISP-0305_W03: </w:t>
      </w:r>
    </w:p>
    <w:p>
      <w:pPr/>
      <w:r>
        <w:rPr/>
        <w:t xml:space="preserve">Ma podstawową wiedzę w zakresie pomiarów wielkości dynamicznych, metod opracowywania wyników pomiarów i ich interpretacji.</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1150-PE000-ISP-0305_U01: </w:t>
      </w:r>
    </w:p>
    <w:p>
      <w:pPr/>
      <w:r>
        <w:rPr/>
        <w:t xml:space="preserve">Potrafi wykorzystać poznane metody i modele matematyczne, fizyczne  i informatyczne do analizy i oceny działania układów mechanicznych wykorzystując w tym celu również symulacje komputerowe.</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K_U11, K_U12, K_U16, K_U24</w:t>
      </w:r>
    </w:p>
    <w:p>
      <w:pPr>
        <w:spacing w:before="20" w:after="190"/>
      </w:pPr>
      <w:r>
        <w:rPr>
          <w:b/>
          <w:bCs/>
        </w:rPr>
        <w:t xml:space="preserve">Powiązane efekty obszarowe: </w:t>
      </w:r>
      <w:r>
        <w:rPr/>
        <w:t xml:space="preserve">T1A_U08, T1A_U09, T1A_U07, T1A_U08, T1A_U12, T1A_U16, T1A_U15, InzA_U07</w:t>
      </w:r>
    </w:p>
    <w:p>
      <w:pPr>
        <w:keepNext w:val="1"/>
        <w:spacing w:after="10"/>
      </w:pPr>
      <w:r>
        <w:rPr>
          <w:b/>
          <w:bCs/>
        </w:rPr>
        <w:t xml:space="preserve">Efekt 1150-PE000-ISP-0305_U02: </w:t>
      </w:r>
    </w:p>
    <w:p>
      <w:pPr/>
      <w:r>
        <w:rPr/>
        <w:t xml:space="preserve">Potrafi określić zapotrzebowanie mocy pojazdu i potrafi dobrać komponenty dla układów napędowych i dokonać analizy ich funkcjonowania.</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 T1A_U12, InzA_U04</w:t>
      </w:r>
    </w:p>
    <w:p>
      <w:pPr>
        <w:keepNext w:val="1"/>
        <w:spacing w:after="10"/>
      </w:pPr>
      <w:r>
        <w:rPr>
          <w:b/>
          <w:bCs/>
        </w:rPr>
        <w:t xml:space="preserve">Efekt 1150-PE000-ISP-0305_U03: </w:t>
      </w:r>
    </w:p>
    <w:p>
      <w:pPr/>
      <w:r>
        <w:rPr/>
        <w:t xml:space="preserve">Potrafi wykorzystać pozyskaną wiedzę specjalistyczną w badaniu i analizie zjawisk występujących w budowie i eksploatacji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T1A_U09</w:t>
      </w:r>
    </w:p>
    <w:p>
      <w:pPr>
        <w:pStyle w:val="Heading3"/>
      </w:pPr>
      <w:bookmarkStart w:id="4" w:name="_Toc4"/>
      <w:r>
        <w:t>Profil ogólnoakademicki - kompetencje społeczne</w:t>
      </w:r>
      <w:bookmarkEnd w:id="4"/>
    </w:p>
    <w:p>
      <w:pPr>
        <w:keepNext w:val="1"/>
        <w:spacing w:after="10"/>
      </w:pPr>
      <w:r>
        <w:rPr>
          <w:b/>
          <w:bCs/>
        </w:rPr>
        <w:t xml:space="preserve">Efekt 1150-PE000-ISP-0305_K01: </w:t>
      </w:r>
    </w:p>
    <w:p>
      <w:pPr/>
      <w:r>
        <w:rPr/>
        <w:t xml:space="preserve">Ma świadomość ważności i zrozumienie pozatechnicznych aspektów i skutków działalności inżynierskiej, w tym problemów bezpieczeństwa ruchu samochodu i jego oddziaływania na środowisko.</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 InzA_K01</w:t>
      </w:r>
    </w:p>
    <w:p>
      <w:pPr>
        <w:keepNext w:val="1"/>
        <w:spacing w:after="10"/>
      </w:pPr>
      <w:r>
        <w:rPr>
          <w:b/>
          <w:bCs/>
        </w:rPr>
        <w:t xml:space="preserve">Efekt 1150-PE000-ISP-0305_K02: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Sprawozdanie z ćwiczeń laboratoryjnych wykonane w grupie zakończone indywidualną oceną każdego ze studentów.</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InzA_K01,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2026-08-05T23:58:25+02:00</dcterms:created>
  <dcterms:modified xsi:type="dcterms:W3CDTF">2026-08-05T23:58:25+02:00</dcterms:modified>
</cp:coreProperties>
</file>

<file path=docProps/custom.xml><?xml version="1.0" encoding="utf-8"?>
<Properties xmlns="http://schemas.openxmlformats.org/officeDocument/2006/custom-properties" xmlns:vt="http://schemas.openxmlformats.org/officeDocument/2006/docPropsVTypes"/>
</file>