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 laboratorium.
2) Praca własna studenta– 10 godzin, w tym:
a)	 5 godz. – bieżące przygotowywanie się studenta do ćwiczeń laboratoryjnych, 
b)	 5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15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wybranych maszyn do obróbki skrawaniem, wybranych maszyn roboczych i pojazdów oraz podstawową nomenklaturą techniczną.
Dodatkowym celem jest zapoznanie studentów z profilem wydziału i bazą laboratoryjną oraz przygotowanie do zajęć na dalszych latach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
4.	Łączną ocenę, na koniec semestru, ustala się na podstawie sumy punktów przyznanych za każde ćwiczenie wg zasady:
5.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T1A_U12, InzA_U04, T1A_U15, InzA_U07</w:t>
      </w:r>
    </w:p>
    <w:p>
      <w:pPr>
        <w:keepNext w:val="1"/>
        <w:spacing w:after="10"/>
      </w:pPr>
      <w:r>
        <w:rPr>
          <w:b/>
          <w:bCs/>
        </w:rPr>
        <w:t xml:space="preserve">Efekt 1150-00000-ISP-0108_U02: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T1A_U15, InzA_U07</w:t>
      </w:r>
    </w:p>
    <w:p>
      <w:pPr>
        <w:keepNext w:val="1"/>
        <w:spacing w:after="10"/>
      </w:pPr>
      <w:r>
        <w:rPr>
          <w:b/>
          <w:bCs/>
        </w:rPr>
        <w:t xml:space="preserve">Efekt 1150-00000-ISP-0108_U03: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1150-00000-ISP-0108_U04: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1150-00000-ISP-0108_U05: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T1A_U15, InzA_U07</w:t>
      </w:r>
    </w:p>
    <w:p>
      <w:pPr>
        <w:keepNext w:val="1"/>
        <w:spacing w:after="10"/>
      </w:pPr>
      <w:r>
        <w:rPr>
          <w:b/>
          <w:bCs/>
        </w:rPr>
        <w:t xml:space="preserve">Efekt 1150-00000-ISP-0108_U06: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1150-00000-ISP-0108_U07: </w:t>
      </w:r>
    </w:p>
    <w:p>
      <w:pPr/>
      <w:r>
        <w:rPr/>
        <w:t xml:space="preserve">Student potrafi rozróżnić i nazwać w języku technicznym podstawowe maszyny budowlane i urządzenia transportu bliskiego oraz elementy ich budowy i zakres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1150-00000-ISP-0108_U08: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keepNext w:val="1"/>
        <w:spacing w:after="10"/>
      </w:pPr>
      <w:r>
        <w:rPr>
          <w:b/>
          <w:bCs/>
        </w:rPr>
        <w:t xml:space="preserve">Efekt 1150-00000-ISP-0108_U09: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2026-10-18T11:24:13+02:00</dcterms:created>
  <dcterms:modified xsi:type="dcterms:W3CDTF">2026-10-18T11:24:13+02:00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