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1150-MBMRC-ISP-0322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- 30 godz.;
b)	laboratorium - 15 godz.;
c)	konsultacje – 2 godz.
2)   Praca własna studenta - 55 godz, w tym: 
a)	15 godz. – bieżące przygotowywanie się do laboratoriów,
b)	15 godz. – studia literaturowe,
c)	15 godz. – opracowanie wyników, przygotowanie sprawozdań,
d)	10 godz. - przygotowywanie się do sprawdzianów.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15 godz. - ćwiczenia laboratoryjne,
b)	15 godz. – przygotowywanie się do ćwiczeń laboratoryjnych,
c)	15 godz. – opracowanie wyników, przygotowanie sprawozdań,
d)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Badania własności układów cięgnowych. 
Model dynamiczny żurawia naściennego.
Obciążenia dźwignic. Siły dynamiczne podnoszenia.
Badania stateczności dźwignic. Stateczność dynamiczna żurawi wieżowych.
Ocena sprzężenia ciernego dźwigu elektrycznego.
Obciążenia dźwignic. Siły dynamiczne ruchów torowych suwnicy.
</w:t>
      </w:r>
    </w:p>
    <w:p>
      <w:pPr>
        <w:keepNext w:val="1"/>
        <w:spacing w:after="10"/>
      </w:pPr>
      <w:r>
        <w:rPr>
          <w:b/>
          <w:bCs/>
        </w:rPr>
        <w:t xml:space="preserve">Metody oceny: </w:t>
      </w:r>
    </w:p>
    <w:p>
      <w:pPr>
        <w:spacing w:before="20" w:after="190"/>
      </w:pPr>
      <w:r>
        <w:rPr/>
        <w:t xml:space="preserve">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Ocena z przedmiotu
Warunkiem zaliczenia przedmiotu jest uzyskanie pozytywnych wyników zarówno z laboratorium (OL), jak i z wykładu (OW). Jako końcowy wynik z przedmiotu podaje się ocenę łączną (O). Obliczana jest ona w następujący sposób:
O = 0.6*OW + 0.4*OL.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http://www.simr.pw.edu.pl/imrc/Instytut-Maszyn-Roboczych-Ciezkich/Dydaktyka/Przedmioty-obowiazkowe/Dzwignice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1150-MBMRC-ISP-0322_W2: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1150-MBMRC-ISP-0322_U1: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1150-MBMRC-ISP-0322_U2: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1150-MBMRC-ISP-0322_K1: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1150-MBMRC-ISP-0322_K2: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2026-10-14T12:20:09+02:00</dcterms:created>
  <dcterms:modified xsi:type="dcterms:W3CDTF">2026-10-14T12:20:09+02:00</dcterms:modified>
</cp:coreProperties>
</file>

<file path=docProps/custom.xml><?xml version="1.0" encoding="utf-8"?>
<Properties xmlns="http://schemas.openxmlformats.org/officeDocument/2006/custom-properties" xmlns:vt="http://schemas.openxmlformats.org/officeDocument/2006/docPropsVTypes"/>
</file>