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nzw.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150-MBPOJ-ISP-0405</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 30 godz.;
b) konsultacje – 1 godz.;
2) Praca własna studenta -  20 godzin, w tym:
a)	 5 godz. – bieżące przygotowywanie się studenta do wykładu;
b)	 5 godz. – studia literaturowe;
c)	 10 godz. – przygotowywanie się studenta do kolokwiów;
3) RAZEM – 51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 30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Nabycie przez studentów umiejętności przeprowadzania podstawowych obliczeń zespołów podwozia samochodu.</w:t>
      </w:r>
    </w:p>
    <w:p>
      <w:pPr>
        <w:keepNext w:val="1"/>
        <w:spacing w:after="10"/>
      </w:pPr>
      <w:r>
        <w:rPr>
          <w:b/>
          <w:bCs/>
        </w:rPr>
        <w:t xml:space="preserve">Treści kształcenia: </w:t>
      </w:r>
    </w:p>
    <w:p>
      <w:pPr>
        <w:spacing w:before="20" w:after="190"/>
      </w:pPr>
      <w:r>
        <w:rPr/>
        <w:t xml:space="preserve">1. Ogólny układ konstrukcyjny samochodu. Koła, ogumienie
2. Rozwiązania konstrukcyjne zawieszeń. Przyklady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8. Przekładnie kierownicze. Moment na kole kierownicy.
9. Mechanizmy wspomagające. Układy stabilizacji toru jazdy.
10. Układy hamulcowe: Klasyfikacja funkcjonalna układów hamulcowych. Wymagania. 
11. Mechanizmy hamulcowe bębnowe i tarczowe
12. Układy uruchamiające hamulce hydrauliczne i pneumatyczne. Mechanizmy wspomagające
13. Korektory hamowania. Urządzenia przeciwblokujące.
</w:t>
      </w:r>
    </w:p>
    <w:p>
      <w:pPr>
        <w:keepNext w:val="1"/>
        <w:spacing w:after="10"/>
      </w:pPr>
      <w:r>
        <w:rPr>
          <w:b/>
          <w:bCs/>
        </w:rPr>
        <w:t xml:space="preserve">Metody oceny: </w:t>
      </w:r>
    </w:p>
    <w:p>
      <w:pPr>
        <w:spacing w:before="20" w:after="190"/>
      </w:pPr>
      <w:r>
        <w:rPr/>
        <w:t xml:space="preserve">Wykład: zaliczenie na podstawie 2 pisemnych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 Bezpieczeństwo czynne samochodu: zawieszenia oraz układy hamulcowe i kierownicze. OWPW Warszawa 2011.
2.	Reński A. Budowa samochodów : układy hamulcowe i kierownicze oraz zawieszenia. OWPW Warszawa (różne roczniki wydania, zamiennik do pozycji nr 3).
3.	Reimpell J., Betzler W.J.: Podwozia samochodów. Podstawy konstrukcji. WKiŁ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150-MBPOJ-ISP-0405_K_W1: </w:t>
      </w:r>
    </w:p>
    <w:p>
      <w:pPr/>
      <w:r>
        <w:rPr/>
        <w:t xml:space="preserve">Ma podstawową wiedzę w zakresie budowy zespołów podwozia samochodów; orientuje się w ich obecnym stanie oraz najnowszych trendach rozwojowych.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KMiBM_W14</w:t>
      </w:r>
    </w:p>
    <w:p>
      <w:pPr>
        <w:spacing w:before="20" w:after="190"/>
      </w:pPr>
      <w:r>
        <w:rPr>
          <w:b/>
          <w:bCs/>
        </w:rPr>
        <w:t xml:space="preserve">Powiązane efekty obszarowe: </w:t>
      </w:r>
      <w:r>
        <w:rPr/>
        <w:t xml:space="preserve">T1A_W04, T1A_W05, InzA_W02</w:t>
      </w:r>
    </w:p>
    <w:p>
      <w:pPr>
        <w:keepNext w:val="1"/>
        <w:spacing w:after="10"/>
      </w:pPr>
      <w:r>
        <w:rPr>
          <w:b/>
          <w:bCs/>
        </w:rPr>
        <w:t xml:space="preserve">Efekt 150-MBPOJ-ISP-0405_K_W2: </w:t>
      </w:r>
    </w:p>
    <w:p>
      <w:pPr/>
      <w:r>
        <w:rPr/>
        <w:t xml:space="preserve">Ma uporządkowaną wiedzę w zakresie specjalistycznych zagadnień dotyczących projektowania  i eksploatacji zespołów podwozia samochodów.</w:t>
      </w:r>
    </w:p>
    <w:p>
      <w:pPr>
        <w:spacing w:before="60"/>
      </w:pPr>
      <w:r>
        <w:rPr/>
        <w:t xml:space="preserve">Weryfikacja: </w:t>
      </w:r>
    </w:p>
    <w:p>
      <w:pPr>
        <w:spacing w:before="20" w:after="190"/>
      </w:pPr>
      <w:r>
        <w:rPr/>
        <w:t xml:space="preserve">Kolokw</w:t>
      </w:r>
    </w:p>
    <w:p>
      <w:pPr>
        <w:spacing w:before="20" w:after="190"/>
      </w:pPr>
      <w:r>
        <w:rPr>
          <w:b/>
          <w:bCs/>
        </w:rPr>
        <w:t xml:space="preserve">Powiązane efekty kierunkowe: </w:t>
      </w:r>
      <w:r>
        <w:rPr/>
        <w:t xml:space="preserve">KMiBM_W17</w:t>
      </w:r>
    </w:p>
    <w:p>
      <w:pPr>
        <w:spacing w:before="20" w:after="190"/>
      </w:pPr>
      <w:r>
        <w:rPr>
          <w:b/>
          <w:bCs/>
        </w:rPr>
        <w:t xml:space="preserve">Powiązane efekty obszarowe: </w:t>
      </w:r>
      <w:r>
        <w:rPr/>
        <w:t xml:space="preserve">T1A_W02, T1A_W03, T1A_W06, InzA_W02, InzA_W05</w:t>
      </w:r>
    </w:p>
    <w:p>
      <w:pPr>
        <w:keepNext w:val="1"/>
        <w:spacing w:after="10"/>
      </w:pPr>
      <w:r>
        <w:rPr>
          <w:b/>
          <w:bCs/>
        </w:rPr>
        <w:t xml:space="preserve">Efekt 150-MBPOJ-ISP-0405_K_W3: </w:t>
      </w:r>
    </w:p>
    <w:p>
      <w:pPr/>
      <w:r>
        <w:rPr/>
        <w:t xml:space="preserve">Zna zasady i metody konstruowania podstawowych elementów i zespołów podwozia samochodu oraz zna narzędzia stosowane w procesie ich projektowania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150-MBPOJ-ISP-0405_K_U1: </w:t>
      </w:r>
    </w:p>
    <w:p>
      <w:pPr/>
      <w:r>
        <w:rPr/>
        <w:t xml:space="preserve">Potrafi zaprojektować elementy i zespoły podwozia samochodu z uwzględnieniem zadanych kryteriów użytkowych i ekonomicznych.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KMiBM_U08</w:t>
      </w:r>
    </w:p>
    <w:p>
      <w:pPr>
        <w:spacing w:before="20" w:after="190"/>
      </w:pPr>
      <w:r>
        <w:rPr>
          <w:b/>
          <w:bCs/>
        </w:rPr>
        <w:t xml:space="preserve">Powiązane efekty obszarowe: </w:t>
      </w:r>
      <w:r>
        <w:rPr/>
        <w:t xml:space="preserve">T1A_U10, T1A_U15, T1A_U16, InzA_U03, InzA_U04, InzA_U07, InzA_U08</w:t>
      </w:r>
    </w:p>
    <w:p>
      <w:pPr>
        <w:keepNext w:val="1"/>
        <w:spacing w:after="10"/>
      </w:pPr>
      <w:r>
        <w:rPr>
          <w:b/>
          <w:bCs/>
        </w:rPr>
        <w:t xml:space="preserve">Efekt 150-MBPOJ-ISP-0405_K_U2: </w:t>
      </w:r>
    </w:p>
    <w:p>
      <w:pPr/>
      <w:r>
        <w:rPr/>
        <w:t xml:space="preserve">Potrafi porównać rozwiązania konstrukcyjne zespołów podwozia samochodu ze względu na zadane kryteria użytkowe i ekonomiczne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KMiBM_U09</w:t>
      </w:r>
    </w:p>
    <w:p>
      <w:pPr>
        <w:spacing w:before="20" w:after="190"/>
      </w:pPr>
      <w:r>
        <w:rPr>
          <w:b/>
          <w:bCs/>
        </w:rPr>
        <w:t xml:space="preserve">Powiązane efekty obszarowe: </w:t>
      </w:r>
      <w:r>
        <w:rPr/>
        <w:t xml:space="preserve">T1A_U13, T1A_U14, InzA_U03, InzA_U04, InzA_U07, InzA_U08</w:t>
      </w:r>
    </w:p>
    <w:p>
      <w:pPr>
        <w:pStyle w:val="Heading3"/>
      </w:pPr>
      <w:bookmarkStart w:id="4" w:name="_Toc4"/>
      <w:r>
        <w:t>Profil ogólnoakademicki - kompetencje społeczne</w:t>
      </w:r>
      <w:bookmarkEnd w:id="4"/>
    </w:p>
    <w:p>
      <w:pPr>
        <w:keepNext w:val="1"/>
        <w:spacing w:after="10"/>
      </w:pPr>
      <w:r>
        <w:rPr>
          <w:b/>
          <w:bCs/>
        </w:rPr>
        <w:t xml:space="preserve">Efekt 150-MBPOJ-ISP-0405_K_K1: </w:t>
      </w:r>
    </w:p>
    <w:p>
      <w:pPr/>
      <w:r>
        <w:rPr/>
        <w:t xml:space="preserve">Ma świadomość ważności i rozumie pozatechniczne aspekty i skutki działalności inżyniera samochodowego, w tym jej wpływ na bezpieczeństwo ruchu drogowego,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2026-04-19T04:49:13+02:00</dcterms:created>
  <dcterms:modified xsi:type="dcterms:W3CDTF">2026-04-19T04:49:13+02:00</dcterms:modified>
</cp:coreProperties>
</file>

<file path=docProps/custom.xml><?xml version="1.0" encoding="utf-8"?>
<Properties xmlns="http://schemas.openxmlformats.org/officeDocument/2006/custom-properties" xmlns:vt="http://schemas.openxmlformats.org/officeDocument/2006/docPropsVTypes"/>
</file>