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1150-MBMRC-ISP-0409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laboratorium - 15 godz.
2) Praca własna studenta - 45 godz, w tym 
a)	10 godz. – przygotowywanie się do ćwiczeń laboratoryjnych,
b)	10 godz. – studia literaturowe,
c)	15 godz. – opracowanie wyników, przygotowanie sprawozdań,
d)	10 godz. - przygotowywanie się do sprawdzianów, kolokwiów.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- 30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- 45 godz., w tym:
1)	15 godz. - ćwiczenia laboratoryjne,
2)	10 godz. – przygotowywanie się do ćwiczeń laboratoryjnych,
3)	15 godz. – opracowanie wyników, przygotowanie sprawozdań,
4)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http://www.simr.pw.edu.pl/imrc/Instytut-Maszyn-Roboczych-Ciezkich/Dydaktyka/Przedmioty-obowiazkowe/Dzwigi-osobowe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1150-MBMRC-ISP-0409_U1: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1150-MBMRC-ISP-0409_U2: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1150-MBMRC-ISP-0409_U3: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1150-MBMRC-ISP-0409_U4: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T1A_U07, T1A_U08, InzA_U01, T1A_U08, T1A_U09, T1A_U10, T1A_U08, T1A_U09, T1A_U15, T1A_U16, T1A_U12, T1A_U16, InzA_U04, T1A_U16, InzA_U08, T1A_U07, T1A_U09, InzA_U08, T1A_U15, InzA_U05</w:t>
      </w:r>
    </w:p>
    <w:p>
      <w:pPr>
        <w:keepNext w:val="1"/>
        <w:spacing w:after="10"/>
      </w:pPr>
      <w:r>
        <w:rPr>
          <w:b/>
          <w:bCs/>
        </w:rPr>
        <w:t xml:space="preserve">Efekt 1150-MBMRC-ISP-0409_U5: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1150-MBMRC-ISP-0409_K1: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2026-10-16T21:10:18+02:00</dcterms:created>
  <dcterms:modified xsi:type="dcterms:W3CDTF">2026-10-16T21:10:18+02:00</dcterms:modified>
</cp:coreProperties>
</file>

<file path=docProps/custom.xml><?xml version="1.0" encoding="utf-8"?>
<Properties xmlns="http://schemas.openxmlformats.org/officeDocument/2006/custom-properties" xmlns:vt="http://schemas.openxmlformats.org/officeDocument/2006/docPropsVTypes"/>
</file>