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przejściowa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Prowadzący pracę przejściową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1150-MB000-IZP-0328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 48 godz projektu.
2) Praca własna studenta – 52 godz., w tym:
a) studia literaturowe: 22 godz.
b) praca nad przygotowaniem projektu: 30 godz.
3) RAZEM – 100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– liczba godzin kontaktowych -  48 godz projektu.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punkty ECTS - 100 godzin pracy studenta, w tym: 
a) udział w ćwiczeniach projektowych - 48 godz.;
b) praca nad przygotowaniem projektu – 30 godz.
c) studia literaturowe: 32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mechaniki i wytrzymałości materiałów oraz postaw projektowania maszyn.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opracowanie przez studenta pracy przejściowej.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 obejmuje pracę własną studenta w zakresie niezbędnym do realizacji pracy przejściowej określonym w porozumieniu z promotorem pracy. Tematyka pracy przejściowej powinna być powiązana z realizowanym kierunkiem studiów. Powinna ona dotyczyć zagadnień ogólno-inżynierskich i stwarzać możliwości wykorzystania dotychczas zdobytej wiedzy technicznej.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Zaliczany jest na podstawie zrealizowanej pracy przejściowej.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dobrana przez studenta w porozumieniu z promotorem pracy z zakresu związanego z tematem pracy przejściowej.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1150-MB000-IZP-0328_W1: </w:t>
      </w:r>
    </w:p>
    <w:p>
      <w:pPr/>
      <w:r>
        <w:rPr/>
        <w:t xml:space="preserve">Posiada wiedzę jak pozyskiwać dane z literatury i baz danych; potrafi ocenić działanie zasad i praw dotyczących ochrony własności intelektualnej.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przejściowa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1150-MB000-IZP-0328_U1: </w:t>
      </w:r>
    </w:p>
    <w:p>
      <w:pPr/>
      <w:r>
        <w:rPr/>
        <w:t xml:space="preserve">Potrafi zaprojektować proste urządzenie, system lub proces, używając właściwych metod, technik i narzędzi z uwzględnieniem zastosowania odpowiednich materiałów i technologii wykonania.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przejściowa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KMiBM_U11, KMiBM_U14, KMiBM_U21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T1A_U12, T1A_U13, T1A_U12, T1A_U14, T1A_U16, InzA_U04, T1A_U03, InzA_U02</w:t>
      </w:r>
    </w:p>
    <w:p>
      <w:pPr>
        <w:keepNext w:val="1"/>
        <w:spacing w:after="10"/>
      </w:pPr>
      <w:r>
        <w:rPr>
          <w:b/>
          <w:bCs/>
        </w:rPr>
        <w:t xml:space="preserve">Efekt 1150-MB000-IZP-0328_U2: </w:t>
      </w:r>
    </w:p>
    <w:p>
      <w:pPr/>
      <w:r>
        <w:rPr/>
        <w:t xml:space="preserve">Potrafi dokonać wstępnej analizy ekonomicznej projektowanych rozwiązań konstrukcyjnych lub procesów.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przejściowa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T1A_U14, InzA_U03, InzA_U04, InzA_U07, InzA_U08</w:t>
      </w:r>
    </w:p>
    <w:p>
      <w:pPr>
        <w:keepNext w:val="1"/>
        <w:spacing w:after="10"/>
      </w:pPr>
      <w:r>
        <w:rPr>
          <w:b/>
          <w:bCs/>
        </w:rPr>
        <w:t xml:space="preserve">Efekt 1150-MB000-IZP-0328_U3: </w:t>
      </w:r>
    </w:p>
    <w:p>
      <w:pPr/>
      <w:r>
        <w:rPr/>
        <w:t xml:space="preserve">Potrafi pozyskiwać dane z literatury i baz danych; potrafi ocenić działanie zasad i praw dotyczących ochrony własności intelektualnej.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przejściowa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KMiBM_U01, KMiBM_U03, KMiBM_U04, KMiBM_U19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InzA_U01, T1A_U09, InzA_U01, InzA_U02, InzA_U06, T1A_U12, InzA_U06, T1A_U01, T1A_U02, T1A_U07, InzA_U05</w:t>
      </w:r>
    </w:p>
    <w:p>
      <w:pPr>
        <w:keepNext w:val="1"/>
        <w:spacing w:after="10"/>
      </w:pPr>
      <w:r>
        <w:rPr>
          <w:b/>
          <w:bCs/>
        </w:rPr>
        <w:t xml:space="preserve">Efekt 1150-MB000-IZP-0328_U4: </w:t>
      </w:r>
    </w:p>
    <w:p>
      <w:pPr/>
      <w:r>
        <w:rPr/>
        <w:t xml:space="preserve">Potrafi przygotować przejrzyste pisemne opracowanie i lub prezentację, rozważając wady i zalety różnych rozwiązań.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przejściowa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KMiBM_U21, KMiBM_U22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InzA_U02, T1A_U03, T1A_U04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1150-MB000-IZP-0328_K1: </w:t>
      </w:r>
    </w:p>
    <w:p>
      <w:pPr/>
      <w:r>
        <w:rPr/>
        <w:t xml:space="preserve">Ma świadomość roli absolwenta uczelni technicznej w przekazywaniu szerszemu gremium osiągnięć mechaniki i budowy maszyn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przejściowa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KMiBM_K02, KMiBM_K04, KMiBM_K06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InzA_K01, T1A_K03, T1A_K04, InzA_K02, T1A_K07, InzA_K01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2026-10-14T17:43:06+02:00</dcterms:created>
  <dcterms:modified xsi:type="dcterms:W3CDTF">2026-10-14T17:43:06+02:00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