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8 godz.;
b) laboratorium – 8 godz.;
c) konsultacje 5 godz.;
d) egzamin – 3 godz.;
2) Praca własna studenta -  41 godz., w tym:
a)	12 godz. – bieżące przygotowywanie się studenta do ćwiczeń, wykonywanie sprawozdań,
b)	15 godz. – studia literaturowe,
c)	14 godz. – przygotowywanie się do egzaminu.
3) Razem – 65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 24, w tym: 
a) wykład – 8 godz.;
b) laboratorium – 8 godz.;
c) konsultacje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–20 godz., w tym:
1) uczestnictwo w zajęciach – 8 godz..
2) 12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Zaliczenie wykładu jest w postaci egzaminu.
Egzamin obejmuje wiedzę i umiejętności nabyte przez studentów w zakresie programu przedmiotu, obejmującego materiał z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KMchtr_W04</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1150-MT000-IZP-0302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T1A_W03, T1A_W04, T1A_W06, T1A_W08, InzA_W03</w:t>
      </w:r>
    </w:p>
    <w:p>
      <w:pPr>
        <w:keepNext w:val="1"/>
        <w:spacing w:after="10"/>
      </w:pPr>
      <w:r>
        <w:rPr>
          <w:b/>
          <w:bCs/>
        </w:rPr>
        <w:t xml:space="preserve">Efekt 1150-MT000-IZP-0302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T1A_W03, T1A_W04, T1A_W06, T1A_W08, InzA_W03</w:t>
      </w:r>
    </w:p>
    <w:p>
      <w:pPr>
        <w:keepNext w:val="1"/>
        <w:spacing w:after="10"/>
      </w:pPr>
      <w:r>
        <w:rPr>
          <w:b/>
          <w:bCs/>
        </w:rPr>
        <w:t xml:space="preserve">Efekt 1150-MT000-IZP-0302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 KMchtr_W15</w:t>
      </w:r>
    </w:p>
    <w:p>
      <w:pPr>
        <w:spacing w:before="20" w:after="190"/>
      </w:pPr>
      <w:r>
        <w:rPr>
          <w:b/>
          <w:bCs/>
        </w:rPr>
        <w:t xml:space="preserve">Powiązane efekty obszarowe: </w:t>
      </w:r>
      <w:r>
        <w:rPr/>
        <w:t xml:space="preserve">T1A_W03, T1A_W04, T1A_W06, T1A_W08, InzA_W03, T1A_W03, T1A_W04, T1A_W07, InzA_W02</w:t>
      </w:r>
    </w:p>
    <w:p>
      <w:pPr>
        <w:keepNext w:val="1"/>
        <w:spacing w:after="10"/>
      </w:pPr>
      <w:r>
        <w:rPr>
          <w:b/>
          <w:bCs/>
        </w:rPr>
        <w:t xml:space="preserve">Efekt 1150-MT000-IZP-0302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KMchtr_W12</w:t>
      </w:r>
    </w:p>
    <w:p>
      <w:pPr>
        <w:spacing w:before="20" w:after="190"/>
      </w:pPr>
      <w:r>
        <w:rPr>
          <w:b/>
          <w:bCs/>
        </w:rPr>
        <w:t xml:space="preserve">Powiązane efekty obszarowe: </w:t>
      </w:r>
      <w:r>
        <w:rPr/>
        <w:t xml:space="preserve">T1A_W03, T1A_W04, InzA_W02, T1A_W02, T1A_W07, InzA_W02, InzA_W03, T1A_W03, T1A_W04, T1A_W05, InzA_W02</w:t>
      </w:r>
    </w:p>
    <w:p>
      <w:pPr>
        <w:pStyle w:val="Heading3"/>
      </w:pPr>
      <w:bookmarkStart w:id="3" w:name="_Toc3"/>
      <w:r>
        <w:t>Profil ogólnoakademicki - umiejętności</w:t>
      </w:r>
      <w:bookmarkEnd w:id="3"/>
    </w:p>
    <w:p>
      <w:pPr>
        <w:keepNext w:val="1"/>
        <w:spacing w:after="10"/>
      </w:pPr>
      <w:r>
        <w:rPr>
          <w:b/>
          <w:bCs/>
        </w:rPr>
        <w:t xml:space="preserve">Efekt 1150-MT000-IZP-0302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1150-MT000-IZP-0302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1150-MT000-IZP-0302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1150-MT000-IZP-0302 K3: </w:t>
      </w:r>
    </w:p>
    <w:p>
      <w:pPr/>
      <w:r>
        <w:rPr/>
        <w:t xml:space="preserve">Student 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2026-10-16T18:56:12+02:00</dcterms:created>
  <dcterms:modified xsi:type="dcterms:W3CDTF">2026-10-16T18:56:12+02:00</dcterms:modified>
</cp:coreProperties>
</file>

<file path=docProps/custom.xml><?xml version="1.0" encoding="utf-8"?>
<Properties xmlns="http://schemas.openxmlformats.org/officeDocument/2006/custom-properties" xmlns:vt="http://schemas.openxmlformats.org/officeDocument/2006/docPropsVTypes"/>
</file>